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A71" w:rsidRDefault="001A1A71" w:rsidP="00D677A9">
      <w:pPr>
        <w:spacing w:after="120" w:line="240" w:lineRule="auto"/>
        <w:rPr>
          <w:rFonts w:ascii="Arial" w:hAnsi="Arial" w:cs="Arial"/>
          <w:b/>
          <w:bCs/>
          <w:color w:val="333399"/>
          <w:sz w:val="20"/>
          <w:szCs w:val="20"/>
          <w:lang w:val="ro-RO" w:eastAsia="en-AU"/>
        </w:rPr>
      </w:pPr>
    </w:p>
    <w:p w:rsidR="001A1A71" w:rsidRPr="00D677A9" w:rsidRDefault="001A1A71" w:rsidP="00D677A9">
      <w:pPr>
        <w:spacing w:after="120" w:line="240" w:lineRule="auto"/>
        <w:rPr>
          <w:lang w:val="ro-RO" w:eastAsia="en-AU"/>
        </w:rPr>
      </w:pPr>
      <w:r w:rsidRPr="00D677A9">
        <w:rPr>
          <w:rFonts w:ascii="Arial" w:hAnsi="Arial" w:cs="Arial"/>
          <w:b/>
          <w:bCs/>
          <w:color w:val="333399"/>
          <w:sz w:val="20"/>
          <w:szCs w:val="20"/>
          <w:lang w:val="ro-RO" w:eastAsia="en-AU"/>
        </w:rPr>
        <w:t>Investeşte în oameni!</w:t>
      </w:r>
    </w:p>
    <w:p w:rsidR="001A1A71" w:rsidRPr="00D677A9" w:rsidRDefault="001A1A71" w:rsidP="00D677A9">
      <w:pPr>
        <w:spacing w:after="0" w:line="240" w:lineRule="auto"/>
        <w:rPr>
          <w:rFonts w:ascii="Arial" w:hAnsi="Arial" w:cs="Arial"/>
          <w:color w:val="333399"/>
          <w:sz w:val="20"/>
          <w:szCs w:val="20"/>
          <w:lang w:val="ro-RO" w:eastAsia="en-AU"/>
        </w:rPr>
      </w:pPr>
      <w:r w:rsidRPr="00D677A9">
        <w:rPr>
          <w:rFonts w:ascii="Arial" w:hAnsi="Arial" w:cs="Arial"/>
          <w:color w:val="333399"/>
          <w:sz w:val="20"/>
          <w:szCs w:val="20"/>
          <w:lang w:val="ro-RO" w:eastAsia="en-AU"/>
        </w:rPr>
        <w:t>FONDUL SOCIAL EUROPEAN</w:t>
      </w:r>
    </w:p>
    <w:p w:rsidR="001A1A71" w:rsidRPr="003227C4" w:rsidRDefault="001A1A71" w:rsidP="00D677A9">
      <w:pPr>
        <w:spacing w:after="0" w:line="240" w:lineRule="auto"/>
        <w:rPr>
          <w:rFonts w:ascii="Arial" w:hAnsi="Arial" w:cs="Arial"/>
          <w:color w:val="333399"/>
          <w:spacing w:val="-2"/>
          <w:sz w:val="20"/>
          <w:szCs w:val="20"/>
          <w:lang w:val="ro-RO" w:eastAsia="en-AU"/>
        </w:rPr>
      </w:pPr>
      <w:r w:rsidRPr="003227C4">
        <w:rPr>
          <w:rFonts w:ascii="Arial" w:hAnsi="Arial" w:cs="Arial"/>
          <w:color w:val="333399"/>
          <w:spacing w:val="-2"/>
          <w:sz w:val="20"/>
          <w:szCs w:val="20"/>
          <w:lang w:val="ro-RO" w:eastAsia="en-AU"/>
        </w:rPr>
        <w:t>Proiect cofinanțat din Programul Operațional Sectorial pentru Dezvoltarea Resurselor Umane 2007 - 2013</w:t>
      </w:r>
    </w:p>
    <w:p w:rsidR="001A1A71" w:rsidRPr="00D677A9" w:rsidRDefault="001A1A71" w:rsidP="00D677A9">
      <w:pPr>
        <w:spacing w:after="0" w:line="240" w:lineRule="auto"/>
        <w:rPr>
          <w:rFonts w:ascii="Arial" w:hAnsi="Arial" w:cs="Arial"/>
          <w:color w:val="333399"/>
          <w:sz w:val="20"/>
          <w:szCs w:val="20"/>
          <w:lang w:val="ro-RO" w:eastAsia="en-AU"/>
        </w:rPr>
      </w:pPr>
      <w:r w:rsidRPr="00D677A9">
        <w:rPr>
          <w:rFonts w:ascii="Arial" w:hAnsi="Arial" w:cs="Arial"/>
          <w:color w:val="333399"/>
          <w:sz w:val="20"/>
          <w:szCs w:val="20"/>
          <w:lang w:val="ro-RO" w:eastAsia="en-AU"/>
        </w:rPr>
        <w:t>Axa prioritară: 2 ”Corelarea învăţării pe tot parcursul vieţii cu piaţa muncii”</w:t>
      </w:r>
    </w:p>
    <w:p w:rsidR="001A1A71" w:rsidRPr="00D677A9" w:rsidRDefault="001A1A71" w:rsidP="00D677A9">
      <w:pPr>
        <w:spacing w:after="0" w:line="240" w:lineRule="auto"/>
        <w:rPr>
          <w:rFonts w:ascii="Arial" w:hAnsi="Arial" w:cs="Arial"/>
          <w:color w:val="333399"/>
          <w:sz w:val="20"/>
          <w:szCs w:val="20"/>
          <w:lang w:val="ro-RO" w:eastAsia="en-AU"/>
        </w:rPr>
      </w:pPr>
      <w:r w:rsidRPr="00D677A9">
        <w:rPr>
          <w:rFonts w:ascii="Arial" w:hAnsi="Arial" w:cs="Arial"/>
          <w:color w:val="333399"/>
          <w:sz w:val="20"/>
          <w:szCs w:val="20"/>
          <w:lang w:val="ro-RO" w:eastAsia="en-AU"/>
        </w:rPr>
        <w:t>Domeniul major de intervenţie: 2.1 ”Tranziţia de la şcoală la viaţă activă”</w:t>
      </w:r>
    </w:p>
    <w:p w:rsidR="001A1A71" w:rsidRPr="00D677A9" w:rsidRDefault="001A1A71" w:rsidP="00D677A9">
      <w:pPr>
        <w:spacing w:after="0" w:line="240" w:lineRule="auto"/>
        <w:rPr>
          <w:rFonts w:ascii="Arial" w:hAnsi="Arial" w:cs="Arial"/>
          <w:color w:val="333399"/>
          <w:sz w:val="20"/>
          <w:szCs w:val="20"/>
          <w:lang w:val="ro-RO" w:eastAsia="en-AU"/>
        </w:rPr>
      </w:pPr>
      <w:r w:rsidRPr="00D677A9">
        <w:rPr>
          <w:rFonts w:ascii="Arial" w:hAnsi="Arial" w:cs="Arial"/>
          <w:color w:val="333399"/>
          <w:sz w:val="20"/>
          <w:szCs w:val="20"/>
          <w:lang w:val="ro-RO" w:eastAsia="en-AU"/>
        </w:rPr>
        <w:t>Titlul proiectului: „Consiliere pentru carieră, practică pentru succes!”</w:t>
      </w:r>
    </w:p>
    <w:p w:rsidR="001A1A71" w:rsidRPr="00D677A9" w:rsidRDefault="001A1A71" w:rsidP="00D677A9">
      <w:pPr>
        <w:spacing w:after="0" w:line="240" w:lineRule="auto"/>
        <w:rPr>
          <w:rFonts w:ascii="Arial" w:hAnsi="Arial" w:cs="Arial"/>
          <w:color w:val="333399"/>
          <w:sz w:val="20"/>
          <w:szCs w:val="20"/>
          <w:lang w:val="ro-RO" w:eastAsia="en-AU"/>
        </w:rPr>
      </w:pPr>
      <w:r w:rsidRPr="00D677A9">
        <w:rPr>
          <w:rFonts w:ascii="Arial" w:hAnsi="Arial" w:cs="Arial"/>
          <w:color w:val="333399"/>
          <w:sz w:val="20"/>
          <w:szCs w:val="20"/>
          <w:lang w:val="ro-RO" w:eastAsia="en-AU"/>
        </w:rPr>
        <w:t>Numărul de identificare al contractului: POSDRU/161/2.1/G/136010</w:t>
      </w:r>
    </w:p>
    <w:p w:rsidR="001A1A71" w:rsidRDefault="001A1A71" w:rsidP="00D677A9">
      <w:pPr>
        <w:spacing w:after="0"/>
        <w:ind w:right="142"/>
        <w:rPr>
          <w:rFonts w:ascii="Arial" w:hAnsi="Arial" w:cs="Arial"/>
          <w:color w:val="333399"/>
          <w:sz w:val="20"/>
          <w:szCs w:val="20"/>
          <w:lang w:val="ro-RO" w:eastAsia="en-AU"/>
        </w:rPr>
      </w:pPr>
      <w:r w:rsidRPr="00D677A9">
        <w:rPr>
          <w:rFonts w:ascii="Arial" w:hAnsi="Arial" w:cs="Arial"/>
          <w:color w:val="333399"/>
          <w:sz w:val="20"/>
          <w:szCs w:val="20"/>
          <w:lang w:val="ro-RO" w:eastAsia="en-AU"/>
        </w:rPr>
        <w:t>Beneficiar: Universitatea POLITEHNICA din București</w:t>
      </w:r>
    </w:p>
    <w:p w:rsidR="00096227" w:rsidRDefault="00096227" w:rsidP="00D677A9">
      <w:pPr>
        <w:spacing w:after="0"/>
        <w:ind w:right="142"/>
        <w:rPr>
          <w:rFonts w:ascii="Arial" w:hAnsi="Arial" w:cs="Arial"/>
          <w:color w:val="333399"/>
          <w:sz w:val="20"/>
          <w:szCs w:val="20"/>
          <w:lang w:val="ro-RO" w:eastAsia="en-AU"/>
        </w:rPr>
      </w:pPr>
    </w:p>
    <w:p w:rsidR="00096227" w:rsidRDefault="00096227" w:rsidP="00D677A9">
      <w:pPr>
        <w:spacing w:after="0"/>
        <w:ind w:right="142"/>
        <w:rPr>
          <w:rFonts w:ascii="Arial" w:hAnsi="Arial" w:cs="Arial"/>
          <w:color w:val="333399"/>
          <w:sz w:val="20"/>
          <w:szCs w:val="20"/>
          <w:lang w:val="ro-RO" w:eastAsia="en-AU"/>
        </w:rPr>
      </w:pPr>
    </w:p>
    <w:p w:rsidR="00D60A7B" w:rsidRDefault="00D60A7B" w:rsidP="00D677A9">
      <w:pPr>
        <w:spacing w:after="0"/>
        <w:ind w:right="142"/>
        <w:rPr>
          <w:rFonts w:ascii="Arial" w:hAnsi="Arial" w:cs="Arial"/>
          <w:color w:val="333399"/>
          <w:sz w:val="20"/>
          <w:szCs w:val="20"/>
          <w:lang w:val="ro-RO" w:eastAsia="en-AU"/>
        </w:rPr>
      </w:pPr>
    </w:p>
    <w:p w:rsidR="00096227" w:rsidRPr="00096227" w:rsidRDefault="00096227" w:rsidP="00096227">
      <w:pPr>
        <w:spacing w:after="0"/>
        <w:ind w:right="142"/>
        <w:jc w:val="center"/>
        <w:rPr>
          <w:rFonts w:ascii="Times New Roman" w:hAnsi="Times New Roman" w:cs="Arial"/>
          <w:b/>
          <w:sz w:val="28"/>
          <w:szCs w:val="28"/>
          <w:lang w:val="ro-RO" w:eastAsia="en-AU"/>
        </w:rPr>
      </w:pPr>
      <w:r w:rsidRPr="00096227">
        <w:rPr>
          <w:rFonts w:ascii="Times New Roman" w:hAnsi="Times New Roman" w:cs="Arial"/>
          <w:b/>
          <w:sz w:val="28"/>
          <w:szCs w:val="28"/>
          <w:lang w:val="ro-RO" w:eastAsia="en-AU"/>
        </w:rPr>
        <w:t>Egalitatea de șanse</w:t>
      </w:r>
    </w:p>
    <w:p w:rsidR="001A1A71" w:rsidRDefault="001A1A71" w:rsidP="00D70E14">
      <w:pPr>
        <w:spacing w:after="0" w:line="240" w:lineRule="auto"/>
        <w:jc w:val="center"/>
        <w:rPr>
          <w:rFonts w:ascii="Arial" w:hAnsi="Arial" w:cs="Arial"/>
          <w:b/>
          <w:bCs/>
          <w:lang w:val="ro-RO"/>
        </w:rPr>
      </w:pPr>
    </w:p>
    <w:p w:rsidR="00D60A7B" w:rsidRDefault="00D60A7B" w:rsidP="00D70E14">
      <w:pPr>
        <w:spacing w:after="0" w:line="240" w:lineRule="auto"/>
        <w:jc w:val="center"/>
        <w:rPr>
          <w:rFonts w:ascii="Arial" w:hAnsi="Arial" w:cs="Arial"/>
          <w:b/>
          <w:bCs/>
          <w:lang w:val="ro-RO"/>
        </w:rPr>
      </w:pPr>
    </w:p>
    <w:p w:rsidR="00096227" w:rsidRDefault="00096227" w:rsidP="00D70E14">
      <w:pPr>
        <w:spacing w:after="0" w:line="240" w:lineRule="auto"/>
        <w:jc w:val="center"/>
        <w:rPr>
          <w:rFonts w:ascii="Arial" w:hAnsi="Arial" w:cs="Arial"/>
          <w:b/>
          <w:bCs/>
          <w:lang w:val="ro-RO"/>
        </w:rPr>
      </w:pPr>
    </w:p>
    <w:p w:rsidR="00096227" w:rsidRDefault="00096227" w:rsidP="00096227">
      <w:pPr>
        <w:spacing w:after="0" w:line="360" w:lineRule="auto"/>
        <w:ind w:firstLine="720"/>
        <w:jc w:val="both"/>
        <w:rPr>
          <w:rFonts w:ascii="Times New Roman" w:hAnsi="Times New Roman" w:cs="Times New Roman"/>
          <w:bCs/>
          <w:sz w:val="24"/>
          <w:szCs w:val="24"/>
          <w:lang w:val="ro-RO"/>
        </w:rPr>
      </w:pPr>
      <w:r>
        <w:rPr>
          <w:rFonts w:ascii="Times New Roman" w:hAnsi="Times New Roman" w:cs="Times New Roman"/>
          <w:bCs/>
          <w:sz w:val="24"/>
          <w:szCs w:val="24"/>
          <w:lang w:val="ro-RO"/>
        </w:rPr>
        <w:t>Egalitate</w:t>
      </w:r>
      <w:r w:rsidR="00D35D90">
        <w:rPr>
          <w:rFonts w:ascii="Times New Roman" w:hAnsi="Times New Roman" w:cs="Times New Roman"/>
          <w:bCs/>
          <w:sz w:val="24"/>
          <w:szCs w:val="24"/>
          <w:lang w:val="ro-RO"/>
        </w:rPr>
        <w:t>a de șanse se referă la asigurarea</w:t>
      </w:r>
      <w:r>
        <w:rPr>
          <w:rFonts w:ascii="Times New Roman" w:hAnsi="Times New Roman" w:cs="Times New Roman"/>
          <w:bCs/>
          <w:sz w:val="24"/>
          <w:szCs w:val="24"/>
          <w:lang w:val="ro-RO"/>
        </w:rPr>
        <w:t xml:space="preserve"> cadrului în vederea participării fără obstrucționări a indivizilor la viața socială și economică, indiferent</w:t>
      </w:r>
      <w:r w:rsidR="00C6644D">
        <w:rPr>
          <w:rFonts w:ascii="Times New Roman" w:hAnsi="Times New Roman" w:cs="Times New Roman"/>
          <w:bCs/>
          <w:sz w:val="24"/>
          <w:szCs w:val="24"/>
          <w:lang w:val="ro-RO"/>
        </w:rPr>
        <w:t xml:space="preserve"> de</w:t>
      </w:r>
      <w:r>
        <w:rPr>
          <w:rFonts w:ascii="Times New Roman" w:hAnsi="Times New Roman" w:cs="Times New Roman"/>
          <w:bCs/>
          <w:sz w:val="24"/>
          <w:szCs w:val="24"/>
          <w:lang w:val="ro-RO"/>
        </w:rPr>
        <w:t xml:space="preserve"> particularități ale identității lor cum ar fi naționalitatea, sexul, vârsta, opțiunile religioase sau politice, orientarea sexuală.</w:t>
      </w:r>
      <w:r w:rsidR="00EB6CBA">
        <w:rPr>
          <w:rFonts w:ascii="Times New Roman" w:hAnsi="Times New Roman" w:cs="Times New Roman"/>
          <w:bCs/>
          <w:sz w:val="24"/>
          <w:szCs w:val="24"/>
          <w:lang w:val="ro-RO"/>
        </w:rPr>
        <w:t xml:space="preserve"> Acest principiu vizează eliminarea sau prevenirea unor atitudini și acțiuni care ar putea aduce atingere demnității umane. Promovarea diversității și eliminarea stereotipurilor sunt adesea vizate de principiul egalității de șanse. </w:t>
      </w:r>
      <w:r w:rsidR="00D35D90">
        <w:rPr>
          <w:rFonts w:ascii="Times New Roman" w:hAnsi="Times New Roman" w:cs="Times New Roman"/>
          <w:bCs/>
          <w:sz w:val="24"/>
          <w:szCs w:val="24"/>
          <w:lang w:val="ro-RO"/>
        </w:rPr>
        <w:t>În procesul de integrare profesională, cetățenii ar trebui</w:t>
      </w:r>
      <w:r w:rsidR="00D60A7B">
        <w:rPr>
          <w:rFonts w:ascii="Times New Roman" w:hAnsi="Times New Roman" w:cs="Times New Roman"/>
          <w:bCs/>
          <w:sz w:val="24"/>
          <w:szCs w:val="24"/>
          <w:lang w:val="ro-RO"/>
        </w:rPr>
        <w:t xml:space="preserve"> să se bucure de drepturi egale</w:t>
      </w:r>
      <w:r w:rsidR="00D35D90">
        <w:rPr>
          <w:rFonts w:ascii="Times New Roman" w:hAnsi="Times New Roman" w:cs="Times New Roman"/>
          <w:bCs/>
          <w:sz w:val="24"/>
          <w:szCs w:val="24"/>
          <w:lang w:val="ro-RO"/>
        </w:rPr>
        <w:t xml:space="preserve">, </w:t>
      </w:r>
      <w:r w:rsidR="00D60A7B">
        <w:rPr>
          <w:rFonts w:ascii="Times New Roman" w:hAnsi="Times New Roman" w:cs="Times New Roman"/>
          <w:bCs/>
          <w:sz w:val="24"/>
          <w:szCs w:val="24"/>
          <w:lang w:val="ro-RO"/>
        </w:rPr>
        <w:t xml:space="preserve">accesul la acestea </w:t>
      </w:r>
      <w:r w:rsidR="00D35D90">
        <w:rPr>
          <w:rFonts w:ascii="Times New Roman" w:hAnsi="Times New Roman" w:cs="Times New Roman"/>
          <w:bCs/>
          <w:sz w:val="24"/>
          <w:szCs w:val="24"/>
          <w:lang w:val="ro-RO"/>
        </w:rPr>
        <w:t>fiind</w:t>
      </w:r>
      <w:r w:rsidR="00D60A7B">
        <w:rPr>
          <w:rFonts w:ascii="Times New Roman" w:hAnsi="Times New Roman" w:cs="Times New Roman"/>
          <w:bCs/>
          <w:sz w:val="24"/>
          <w:szCs w:val="24"/>
          <w:lang w:val="ro-RO"/>
        </w:rPr>
        <w:t xml:space="preserve"> garantat prin lege. </w:t>
      </w:r>
    </w:p>
    <w:p w:rsidR="00C6644D" w:rsidRDefault="00D35D90" w:rsidP="00096227">
      <w:pPr>
        <w:spacing w:after="0" w:line="360" w:lineRule="auto"/>
        <w:ind w:firstLine="720"/>
        <w:jc w:val="both"/>
        <w:rPr>
          <w:rFonts w:ascii="Times New Roman" w:hAnsi="Times New Roman" w:cs="Times New Roman"/>
          <w:bCs/>
          <w:sz w:val="24"/>
          <w:szCs w:val="24"/>
          <w:lang w:val="ro-RO"/>
        </w:rPr>
      </w:pPr>
      <w:r>
        <w:rPr>
          <w:rFonts w:ascii="Times New Roman" w:hAnsi="Times New Roman" w:cs="Times New Roman"/>
          <w:bCs/>
          <w:sz w:val="24"/>
          <w:szCs w:val="24"/>
          <w:lang w:val="ro-RO"/>
        </w:rPr>
        <w:t>Vom trece în revistă în cele ce urmează câteva ilustrări ale</w:t>
      </w:r>
      <w:r w:rsidR="00C6644D">
        <w:rPr>
          <w:rFonts w:ascii="Times New Roman" w:hAnsi="Times New Roman" w:cs="Times New Roman"/>
          <w:bCs/>
          <w:sz w:val="24"/>
          <w:szCs w:val="24"/>
          <w:lang w:val="ro-RO"/>
        </w:rPr>
        <w:t xml:space="preserve"> de d</w:t>
      </w:r>
      <w:r>
        <w:rPr>
          <w:rFonts w:ascii="Times New Roman" w:hAnsi="Times New Roman" w:cs="Times New Roman"/>
          <w:bCs/>
          <w:sz w:val="24"/>
          <w:szCs w:val="24"/>
          <w:lang w:val="ro-RO"/>
        </w:rPr>
        <w:t>iscriminării, așa cum sunt ele menționate în Strategia Națională</w:t>
      </w:r>
      <w:r w:rsidR="00C6644D">
        <w:rPr>
          <w:rFonts w:ascii="Times New Roman" w:hAnsi="Times New Roman" w:cs="Times New Roman"/>
          <w:bCs/>
          <w:sz w:val="24"/>
          <w:szCs w:val="24"/>
          <w:lang w:val="ro-RO"/>
        </w:rPr>
        <w:t xml:space="preserve"> pentru Implementarea Anului European al Egalității d</w:t>
      </w:r>
      <w:r>
        <w:rPr>
          <w:rFonts w:ascii="Times New Roman" w:hAnsi="Times New Roman" w:cs="Times New Roman"/>
          <w:bCs/>
          <w:sz w:val="24"/>
          <w:szCs w:val="24"/>
          <w:lang w:val="ro-RO"/>
        </w:rPr>
        <w:t>e Șanse pentru toți – anul 2007.</w:t>
      </w:r>
    </w:p>
    <w:p w:rsidR="00D60A7B" w:rsidRDefault="00D60A7B" w:rsidP="00096227">
      <w:pPr>
        <w:spacing w:after="0" w:line="360" w:lineRule="auto"/>
        <w:ind w:firstLine="720"/>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În ciuda </w:t>
      </w:r>
      <w:r w:rsidR="00C6644D">
        <w:rPr>
          <w:rFonts w:ascii="Times New Roman" w:hAnsi="Times New Roman" w:cs="Times New Roman"/>
          <w:bCs/>
          <w:sz w:val="24"/>
          <w:szCs w:val="24"/>
          <w:lang w:val="ro-RO"/>
        </w:rPr>
        <w:t xml:space="preserve">promovării </w:t>
      </w:r>
      <w:r w:rsidR="00EF7848">
        <w:rPr>
          <w:rFonts w:ascii="Times New Roman" w:hAnsi="Times New Roman" w:cs="Times New Roman"/>
          <w:bCs/>
          <w:sz w:val="24"/>
          <w:szCs w:val="24"/>
          <w:lang w:val="ro-RO"/>
        </w:rPr>
        <w:t>din ce în ce mai consistente a principiului egalității de șanse</w:t>
      </w:r>
      <w:r w:rsidR="00C6644D">
        <w:rPr>
          <w:rFonts w:ascii="Times New Roman" w:hAnsi="Times New Roman" w:cs="Times New Roman"/>
          <w:bCs/>
          <w:sz w:val="24"/>
          <w:szCs w:val="24"/>
          <w:lang w:val="ro-RO"/>
        </w:rPr>
        <w:t>, discriminarea în funcție de factorii menționați anterior c</w:t>
      </w:r>
      <w:r w:rsidR="00EF7848">
        <w:rPr>
          <w:rFonts w:ascii="Times New Roman" w:hAnsi="Times New Roman" w:cs="Times New Roman"/>
          <w:bCs/>
          <w:sz w:val="24"/>
          <w:szCs w:val="24"/>
          <w:lang w:val="ro-RO"/>
        </w:rPr>
        <w:t>ontinuă să existe. Discriminarea în funcție de sex se reflectă în faptul că</w:t>
      </w:r>
      <w:r w:rsidR="003800B0">
        <w:rPr>
          <w:rFonts w:ascii="Times New Roman" w:hAnsi="Times New Roman" w:cs="Times New Roman"/>
          <w:bCs/>
          <w:sz w:val="24"/>
          <w:szCs w:val="24"/>
          <w:lang w:val="ro-RO"/>
        </w:rPr>
        <w:t xml:space="preserve"> </w:t>
      </w:r>
      <w:r w:rsidR="00C6644D">
        <w:rPr>
          <w:rFonts w:ascii="Times New Roman" w:hAnsi="Times New Roman" w:cs="Times New Roman"/>
          <w:bCs/>
          <w:sz w:val="24"/>
          <w:szCs w:val="24"/>
          <w:lang w:val="ro-RO"/>
        </w:rPr>
        <w:t>ocupațiile în care se regăsesc majoritar reprezentantele sexului feminin – cum sunt sănătatea și învățământul – su</w:t>
      </w:r>
      <w:r w:rsidR="00EF7848">
        <w:rPr>
          <w:rFonts w:ascii="Times New Roman" w:hAnsi="Times New Roman" w:cs="Times New Roman"/>
          <w:bCs/>
          <w:sz w:val="24"/>
          <w:szCs w:val="24"/>
          <w:lang w:val="ro-RO"/>
        </w:rPr>
        <w:t>nt mai prost plătite. În materialul</w:t>
      </w:r>
      <w:r w:rsidR="00C6644D">
        <w:rPr>
          <w:rFonts w:ascii="Times New Roman" w:hAnsi="Times New Roman" w:cs="Times New Roman"/>
          <w:bCs/>
          <w:sz w:val="24"/>
          <w:szCs w:val="24"/>
          <w:lang w:val="ro-RO"/>
        </w:rPr>
        <w:t xml:space="preserve"> menționat </w:t>
      </w:r>
      <w:r w:rsidR="00EF7848">
        <w:rPr>
          <w:rFonts w:ascii="Times New Roman" w:hAnsi="Times New Roman" w:cs="Times New Roman"/>
          <w:bCs/>
          <w:sz w:val="24"/>
          <w:szCs w:val="24"/>
          <w:lang w:val="ro-RO"/>
        </w:rPr>
        <w:t>mai sus se evidențiază</w:t>
      </w:r>
      <w:r w:rsidR="00C6644D">
        <w:rPr>
          <w:rFonts w:ascii="Times New Roman" w:hAnsi="Times New Roman" w:cs="Times New Roman"/>
          <w:bCs/>
          <w:sz w:val="24"/>
          <w:szCs w:val="24"/>
          <w:lang w:val="ro-RO"/>
        </w:rPr>
        <w:t xml:space="preserve"> de asemenea diferența semnificativă dintre numărul de femei și bărbați care se regăsesc în poziția de patron al unei societăți (se înregistrează de patru ori mai mulți reprezentanți ai sexului masculin</w:t>
      </w:r>
      <w:r w:rsidR="00851E82">
        <w:rPr>
          <w:rFonts w:ascii="Times New Roman" w:hAnsi="Times New Roman" w:cs="Times New Roman"/>
          <w:bCs/>
          <w:sz w:val="24"/>
          <w:szCs w:val="24"/>
          <w:lang w:val="ro-RO"/>
        </w:rPr>
        <w:t>), precum și dintre cel al femeilor și bărbaților</w:t>
      </w:r>
      <w:r w:rsidR="00C6644D">
        <w:rPr>
          <w:rFonts w:ascii="Times New Roman" w:hAnsi="Times New Roman" w:cs="Times New Roman"/>
          <w:bCs/>
          <w:sz w:val="24"/>
          <w:szCs w:val="24"/>
          <w:lang w:val="ro-RO"/>
        </w:rPr>
        <w:t xml:space="preserve"> care au ales să lucreze pe cont propriu (femeile se situează la jumătatea cifrei corespunzătoare bărbaților).</w:t>
      </w:r>
      <w:r w:rsidR="001C05AC">
        <w:rPr>
          <w:rFonts w:ascii="Times New Roman" w:hAnsi="Times New Roman" w:cs="Times New Roman"/>
          <w:bCs/>
          <w:sz w:val="24"/>
          <w:szCs w:val="24"/>
          <w:lang w:val="ro-RO"/>
        </w:rPr>
        <w:t xml:space="preserve"> </w:t>
      </w:r>
    </w:p>
    <w:p w:rsidR="001C05AC" w:rsidRDefault="001C05AC" w:rsidP="00096227">
      <w:pPr>
        <w:spacing w:after="0" w:line="360" w:lineRule="auto"/>
        <w:ind w:firstLine="720"/>
        <w:jc w:val="both"/>
        <w:rPr>
          <w:rFonts w:ascii="Times New Roman" w:hAnsi="Times New Roman" w:cs="Times New Roman"/>
          <w:bCs/>
          <w:sz w:val="24"/>
          <w:szCs w:val="24"/>
          <w:lang w:val="ro-RO"/>
        </w:rPr>
      </w:pPr>
      <w:r>
        <w:rPr>
          <w:rFonts w:ascii="Times New Roman" w:hAnsi="Times New Roman" w:cs="Times New Roman"/>
          <w:bCs/>
          <w:sz w:val="24"/>
          <w:szCs w:val="24"/>
          <w:lang w:val="ro-RO"/>
        </w:rPr>
        <w:t>Un alt</w:t>
      </w:r>
      <w:r w:rsidR="00EF7848">
        <w:rPr>
          <w:rFonts w:ascii="Times New Roman" w:hAnsi="Times New Roman" w:cs="Times New Roman"/>
          <w:bCs/>
          <w:sz w:val="24"/>
          <w:szCs w:val="24"/>
          <w:lang w:val="ro-RO"/>
        </w:rPr>
        <w:t xml:space="preserve"> tip de discriminare care se manifestă</w:t>
      </w:r>
      <w:r>
        <w:rPr>
          <w:rFonts w:ascii="Times New Roman" w:hAnsi="Times New Roman" w:cs="Times New Roman"/>
          <w:bCs/>
          <w:sz w:val="24"/>
          <w:szCs w:val="24"/>
          <w:lang w:val="ro-RO"/>
        </w:rPr>
        <w:t xml:space="preserve"> în dom</w:t>
      </w:r>
      <w:r w:rsidR="00EF7848">
        <w:rPr>
          <w:rFonts w:ascii="Times New Roman" w:hAnsi="Times New Roman" w:cs="Times New Roman"/>
          <w:bCs/>
          <w:sz w:val="24"/>
          <w:szCs w:val="24"/>
          <w:lang w:val="ro-RO"/>
        </w:rPr>
        <w:t xml:space="preserve">eniul profesional este cea care ține cont de </w:t>
      </w:r>
      <w:r>
        <w:rPr>
          <w:rFonts w:ascii="Times New Roman" w:hAnsi="Times New Roman" w:cs="Times New Roman"/>
          <w:bCs/>
          <w:sz w:val="24"/>
          <w:szCs w:val="24"/>
          <w:lang w:val="ro-RO"/>
        </w:rPr>
        <w:t xml:space="preserve">orientarea sexuală, aceasta afectând minoritățile sexuale (homosexuali, bisexuali, </w:t>
      </w:r>
      <w:r>
        <w:rPr>
          <w:rFonts w:ascii="Times New Roman" w:hAnsi="Times New Roman" w:cs="Times New Roman"/>
          <w:bCs/>
          <w:sz w:val="24"/>
          <w:szCs w:val="24"/>
          <w:lang w:val="ro-RO"/>
        </w:rPr>
        <w:lastRenderedPageBreak/>
        <w:t>transsexuali).</w:t>
      </w:r>
      <w:r w:rsidR="00D42FDD">
        <w:rPr>
          <w:rFonts w:ascii="Times New Roman" w:hAnsi="Times New Roman" w:cs="Times New Roman"/>
          <w:bCs/>
          <w:sz w:val="24"/>
          <w:szCs w:val="24"/>
          <w:lang w:val="ro-RO"/>
        </w:rPr>
        <w:t xml:space="preserve"> Asupra acestora planează o multitudine de prejudecăți care îi afectează în ansamblul vieții lor, fie că vorbim de activitatea profesională, </w:t>
      </w:r>
      <w:r w:rsidR="003800B0">
        <w:rPr>
          <w:rFonts w:ascii="Times New Roman" w:hAnsi="Times New Roman" w:cs="Times New Roman"/>
          <w:bCs/>
          <w:sz w:val="24"/>
          <w:szCs w:val="24"/>
          <w:lang w:val="ro-RO"/>
        </w:rPr>
        <w:t>serviciile publice, iar uneori chiar de</w:t>
      </w:r>
      <w:r w:rsidR="00D42FDD">
        <w:rPr>
          <w:rFonts w:ascii="Times New Roman" w:hAnsi="Times New Roman" w:cs="Times New Roman"/>
          <w:bCs/>
          <w:sz w:val="24"/>
          <w:szCs w:val="24"/>
          <w:lang w:val="ro-RO"/>
        </w:rPr>
        <w:t xml:space="preserve"> relațiile familiale. </w:t>
      </w:r>
    </w:p>
    <w:p w:rsidR="00224570" w:rsidRDefault="00224570" w:rsidP="00096227">
      <w:pPr>
        <w:spacing w:after="0" w:line="360" w:lineRule="auto"/>
        <w:ind w:firstLine="720"/>
        <w:jc w:val="both"/>
        <w:rPr>
          <w:rFonts w:ascii="Times New Roman" w:hAnsi="Times New Roman" w:cs="Times New Roman"/>
          <w:bCs/>
          <w:sz w:val="24"/>
          <w:szCs w:val="24"/>
          <w:lang w:val="ro-RO"/>
        </w:rPr>
      </w:pPr>
      <w:r>
        <w:rPr>
          <w:rFonts w:ascii="Times New Roman" w:hAnsi="Times New Roman" w:cs="Times New Roman"/>
          <w:bCs/>
          <w:sz w:val="24"/>
          <w:szCs w:val="24"/>
          <w:lang w:val="ro-RO"/>
        </w:rPr>
        <w:t>Vârsta este un alt criteriu care poate da naștere discriminării. Aceasta apare, în România, pe fondul îmbătrânirii populației</w:t>
      </w:r>
      <w:r w:rsidR="00EF7848">
        <w:rPr>
          <w:rFonts w:ascii="Times New Roman" w:hAnsi="Times New Roman" w:cs="Times New Roman"/>
          <w:bCs/>
          <w:sz w:val="24"/>
          <w:szCs w:val="24"/>
          <w:lang w:val="ro-RO"/>
        </w:rPr>
        <w:t>; îngrijor</w:t>
      </w:r>
      <w:r w:rsidR="00851E82">
        <w:rPr>
          <w:rFonts w:ascii="Times New Roman" w:hAnsi="Times New Roman" w:cs="Times New Roman"/>
          <w:bCs/>
          <w:sz w:val="24"/>
          <w:szCs w:val="24"/>
          <w:lang w:val="ro-RO"/>
        </w:rPr>
        <w:t>ătoare este și prognoza</w:t>
      </w:r>
      <w:r w:rsidR="00EF7848">
        <w:rPr>
          <w:rFonts w:ascii="Times New Roman" w:hAnsi="Times New Roman" w:cs="Times New Roman"/>
          <w:bCs/>
          <w:sz w:val="24"/>
          <w:szCs w:val="24"/>
          <w:lang w:val="ro-RO"/>
        </w:rPr>
        <w:t xml:space="preserve"> care arată că</w:t>
      </w:r>
      <w:r>
        <w:rPr>
          <w:rFonts w:ascii="Times New Roman" w:hAnsi="Times New Roman" w:cs="Times New Roman"/>
          <w:bCs/>
          <w:sz w:val="24"/>
          <w:szCs w:val="24"/>
          <w:lang w:val="ro-RO"/>
        </w:rPr>
        <w:t xml:space="preserve"> în aproximativ 50 de ani pensi</w:t>
      </w:r>
      <w:r w:rsidR="00851E82">
        <w:rPr>
          <w:rFonts w:ascii="Times New Roman" w:hAnsi="Times New Roman" w:cs="Times New Roman"/>
          <w:bCs/>
          <w:sz w:val="24"/>
          <w:szCs w:val="24"/>
          <w:lang w:val="ro-RO"/>
        </w:rPr>
        <w:t>onarii vor reprezenta</w:t>
      </w:r>
      <w:r>
        <w:rPr>
          <w:rFonts w:ascii="Times New Roman" w:hAnsi="Times New Roman" w:cs="Times New Roman"/>
          <w:bCs/>
          <w:sz w:val="24"/>
          <w:szCs w:val="24"/>
          <w:lang w:val="ro-RO"/>
        </w:rPr>
        <w:t xml:space="preserve"> jumătate din populația țării. Acest lucru ar trebui să implice o revizuire a sistemului de învățământ, al celui de sănătate și al asigurărilor sociale. La nivelul percepției generale</w:t>
      </w:r>
      <w:r w:rsidR="00EF7848">
        <w:rPr>
          <w:rFonts w:ascii="Times New Roman" w:hAnsi="Times New Roman" w:cs="Times New Roman"/>
          <w:bCs/>
          <w:sz w:val="24"/>
          <w:szCs w:val="24"/>
          <w:lang w:val="ro-RO"/>
        </w:rPr>
        <w:t xml:space="preserve"> a populației,</w:t>
      </w:r>
      <w:r>
        <w:rPr>
          <w:rFonts w:ascii="Times New Roman" w:hAnsi="Times New Roman" w:cs="Times New Roman"/>
          <w:bCs/>
          <w:sz w:val="24"/>
          <w:szCs w:val="24"/>
          <w:lang w:val="ro-RO"/>
        </w:rPr>
        <w:t xml:space="preserve"> ar trebui asimilată ideea că toți membrii societății, indiferent de vârstă, reprezint</w:t>
      </w:r>
      <w:r w:rsidR="00CE7EF6">
        <w:rPr>
          <w:rFonts w:ascii="Times New Roman" w:hAnsi="Times New Roman" w:cs="Times New Roman"/>
          <w:bCs/>
          <w:sz w:val="24"/>
          <w:szCs w:val="24"/>
          <w:lang w:val="ro-RO"/>
        </w:rPr>
        <w:t>ă o resursă valoroasă și că e imperativ să fie</w:t>
      </w:r>
      <w:r>
        <w:rPr>
          <w:rFonts w:ascii="Times New Roman" w:hAnsi="Times New Roman" w:cs="Times New Roman"/>
          <w:bCs/>
          <w:sz w:val="24"/>
          <w:szCs w:val="24"/>
          <w:lang w:val="ro-RO"/>
        </w:rPr>
        <w:t xml:space="preserve"> încurajați să păstreze o atitudine activă de-a lungul întregii vieți. E vorba</w:t>
      </w:r>
      <w:r w:rsidR="000B76A6">
        <w:rPr>
          <w:rFonts w:ascii="Times New Roman" w:hAnsi="Times New Roman" w:cs="Times New Roman"/>
          <w:bCs/>
          <w:sz w:val="24"/>
          <w:szCs w:val="24"/>
          <w:lang w:val="ro-RO"/>
        </w:rPr>
        <w:t>,</w:t>
      </w:r>
      <w:r>
        <w:rPr>
          <w:rFonts w:ascii="Times New Roman" w:hAnsi="Times New Roman" w:cs="Times New Roman"/>
          <w:bCs/>
          <w:sz w:val="24"/>
          <w:szCs w:val="24"/>
          <w:lang w:val="ro-RO"/>
        </w:rPr>
        <w:t xml:space="preserve"> din acest punct de vedere</w:t>
      </w:r>
      <w:r w:rsidR="000B76A6">
        <w:rPr>
          <w:rFonts w:ascii="Times New Roman" w:hAnsi="Times New Roman" w:cs="Times New Roman"/>
          <w:bCs/>
          <w:sz w:val="24"/>
          <w:szCs w:val="24"/>
          <w:lang w:val="ro-RO"/>
        </w:rPr>
        <w:t>,</w:t>
      </w:r>
      <w:r>
        <w:rPr>
          <w:rFonts w:ascii="Times New Roman" w:hAnsi="Times New Roman" w:cs="Times New Roman"/>
          <w:bCs/>
          <w:sz w:val="24"/>
          <w:szCs w:val="24"/>
          <w:lang w:val="ro-RO"/>
        </w:rPr>
        <w:t xml:space="preserve"> de asigurarea condițiilor pentru ca </w:t>
      </w:r>
      <w:r w:rsidR="006910CD">
        <w:rPr>
          <w:rFonts w:ascii="Times New Roman" w:hAnsi="Times New Roman" w:cs="Times New Roman"/>
          <w:bCs/>
          <w:sz w:val="24"/>
          <w:szCs w:val="24"/>
          <w:lang w:val="ro-RO"/>
        </w:rPr>
        <w:t>un schimb</w:t>
      </w:r>
      <w:r>
        <w:rPr>
          <w:rFonts w:ascii="Times New Roman" w:hAnsi="Times New Roman" w:cs="Times New Roman"/>
          <w:bCs/>
          <w:sz w:val="24"/>
          <w:szCs w:val="24"/>
          <w:lang w:val="ro-RO"/>
        </w:rPr>
        <w:t xml:space="preserve"> echitabil să se poată</w:t>
      </w:r>
      <w:r w:rsidR="006910CD">
        <w:rPr>
          <w:rFonts w:ascii="Times New Roman" w:hAnsi="Times New Roman" w:cs="Times New Roman"/>
          <w:bCs/>
          <w:sz w:val="24"/>
          <w:szCs w:val="24"/>
          <w:lang w:val="ro-RO"/>
        </w:rPr>
        <w:t xml:space="preserve"> produce: fiecare individ are, pe de o parte, resurse ce </w:t>
      </w:r>
      <w:r w:rsidR="000B76A6">
        <w:rPr>
          <w:rFonts w:ascii="Times New Roman" w:hAnsi="Times New Roman" w:cs="Times New Roman"/>
          <w:bCs/>
          <w:sz w:val="24"/>
          <w:szCs w:val="24"/>
          <w:lang w:val="ro-RO"/>
        </w:rPr>
        <w:t>pot fi împărtășite cu ceilalți și, pe de altă parte,</w:t>
      </w:r>
      <w:r w:rsidR="006910CD">
        <w:rPr>
          <w:rFonts w:ascii="Times New Roman" w:hAnsi="Times New Roman" w:cs="Times New Roman"/>
          <w:bCs/>
          <w:sz w:val="24"/>
          <w:szCs w:val="24"/>
          <w:lang w:val="ro-RO"/>
        </w:rPr>
        <w:t xml:space="preserve"> nevoi în împlinirea cărora are nevoie de susținere socială</w:t>
      </w:r>
      <w:r w:rsidR="00433A17">
        <w:rPr>
          <w:rFonts w:ascii="Times New Roman" w:hAnsi="Times New Roman" w:cs="Times New Roman"/>
          <w:bCs/>
          <w:sz w:val="24"/>
          <w:szCs w:val="24"/>
          <w:lang w:val="ro-RO"/>
        </w:rPr>
        <w:t>.</w:t>
      </w:r>
      <w:r w:rsidR="00DF7E93">
        <w:rPr>
          <w:rFonts w:ascii="Times New Roman" w:hAnsi="Times New Roman" w:cs="Times New Roman"/>
          <w:bCs/>
          <w:sz w:val="24"/>
          <w:szCs w:val="24"/>
          <w:lang w:val="ro-RO"/>
        </w:rPr>
        <w:t xml:space="preserve"> Societatea trebuie să ofere cadrul propice în care fiecare să primească ceea ce are nevoie și să dea în schimb ceea ce are de oferit. Acest echilibru este deficitar în România zilelor noastre, potențialul reprezentat de persoanele vârstnice fiind insuficient valorificat, cu consecințe directe atât asupra acestora din urmă, cât și a societății în ansamblul ei. Studiul citat anterior menționează, printre problemele cu care se confruntă persoanele vârstnice din Rom</w:t>
      </w:r>
      <w:r w:rsidR="006910CD">
        <w:rPr>
          <w:rFonts w:ascii="Times New Roman" w:hAnsi="Times New Roman" w:cs="Times New Roman"/>
          <w:bCs/>
          <w:sz w:val="24"/>
          <w:szCs w:val="24"/>
          <w:lang w:val="ro-RO"/>
        </w:rPr>
        <w:t>ânia: ignorarea la nivel social</w:t>
      </w:r>
      <w:r w:rsidR="00DF7E93">
        <w:rPr>
          <w:rFonts w:ascii="Times New Roman" w:hAnsi="Times New Roman" w:cs="Times New Roman"/>
          <w:bCs/>
          <w:sz w:val="24"/>
          <w:szCs w:val="24"/>
          <w:lang w:val="ro-RO"/>
        </w:rPr>
        <w:t xml:space="preserve"> a faptului că aceste persoane reprezintă o importantă resursă culturală și profesională, nivelul redus de conștientizare a importanței vieții active la orice vârstă, dificultatea de integrare profesională a femeilor de peste 55 de ani.</w:t>
      </w:r>
    </w:p>
    <w:p w:rsidR="00DF7E93" w:rsidRDefault="005E11F6" w:rsidP="00096227">
      <w:pPr>
        <w:spacing w:after="0" w:line="360" w:lineRule="auto"/>
        <w:ind w:firstLine="720"/>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La polul celălalt, </w:t>
      </w:r>
      <w:r w:rsidR="00831265">
        <w:rPr>
          <w:rFonts w:ascii="Times New Roman" w:hAnsi="Times New Roman" w:cs="Times New Roman"/>
          <w:bCs/>
          <w:sz w:val="24"/>
          <w:szCs w:val="24"/>
          <w:lang w:val="ro-RO"/>
        </w:rPr>
        <w:t>tinerii se regăsesc și ei în poziția de discriminați</w:t>
      </w:r>
      <w:r>
        <w:rPr>
          <w:rFonts w:ascii="Times New Roman" w:hAnsi="Times New Roman" w:cs="Times New Roman"/>
          <w:bCs/>
          <w:sz w:val="24"/>
          <w:szCs w:val="24"/>
          <w:lang w:val="ro-RO"/>
        </w:rPr>
        <w:t xml:space="preserve">. Un aspect despre care se vorbește adesea este situația locativă a acestora, iar studii </w:t>
      </w:r>
      <w:r w:rsidR="006910CD">
        <w:rPr>
          <w:rFonts w:ascii="Times New Roman" w:hAnsi="Times New Roman" w:cs="Times New Roman"/>
          <w:bCs/>
          <w:sz w:val="24"/>
          <w:szCs w:val="24"/>
          <w:lang w:val="ro-RO"/>
        </w:rPr>
        <w:t>(Diagnoză 2005 – situaț</w:t>
      </w:r>
      <w:r w:rsidR="00DE5584">
        <w:rPr>
          <w:rFonts w:ascii="Times New Roman" w:hAnsi="Times New Roman" w:cs="Times New Roman"/>
          <w:bCs/>
          <w:sz w:val="24"/>
          <w:szCs w:val="24"/>
          <w:lang w:val="ro-RO"/>
        </w:rPr>
        <w:t xml:space="preserve">ia tineretului și așteptările sale) </w:t>
      </w:r>
      <w:r>
        <w:rPr>
          <w:rFonts w:ascii="Times New Roman" w:hAnsi="Times New Roman" w:cs="Times New Roman"/>
          <w:bCs/>
          <w:sz w:val="24"/>
          <w:szCs w:val="24"/>
          <w:lang w:val="ro-RO"/>
        </w:rPr>
        <w:t xml:space="preserve">pe acest subiect arată că în anul 2005 mai mult de 70% dintre </w:t>
      </w:r>
      <w:r w:rsidR="00DE5584">
        <w:rPr>
          <w:rFonts w:ascii="Times New Roman" w:hAnsi="Times New Roman" w:cs="Times New Roman"/>
          <w:bCs/>
          <w:sz w:val="24"/>
          <w:szCs w:val="24"/>
          <w:lang w:val="ro-RO"/>
        </w:rPr>
        <w:t>aceșt</w:t>
      </w:r>
      <w:r w:rsidR="006910CD">
        <w:rPr>
          <w:rFonts w:ascii="Times New Roman" w:hAnsi="Times New Roman" w:cs="Times New Roman"/>
          <w:bCs/>
          <w:sz w:val="24"/>
          <w:szCs w:val="24"/>
          <w:lang w:val="ro-RO"/>
        </w:rPr>
        <w:t>ia locuiau</w:t>
      </w:r>
      <w:r w:rsidR="00DE5584">
        <w:rPr>
          <w:rFonts w:ascii="Times New Roman" w:hAnsi="Times New Roman" w:cs="Times New Roman"/>
          <w:bCs/>
          <w:sz w:val="24"/>
          <w:szCs w:val="24"/>
          <w:lang w:val="ro-RO"/>
        </w:rPr>
        <w:t xml:space="preserve"> cu părinții sau rudele. La accesul dificil la o locuință proprie se adaugă și alte probleme cu care se confruntă tinerii, st</w:t>
      </w:r>
      <w:r w:rsidR="006910CD">
        <w:rPr>
          <w:rFonts w:ascii="Times New Roman" w:hAnsi="Times New Roman" w:cs="Times New Roman"/>
          <w:bCs/>
          <w:sz w:val="24"/>
          <w:szCs w:val="24"/>
          <w:lang w:val="ro-RO"/>
        </w:rPr>
        <w:t xml:space="preserve">udiul mai sus menționat amintind </w:t>
      </w:r>
      <w:r w:rsidR="00DE5584">
        <w:rPr>
          <w:rFonts w:ascii="Times New Roman" w:hAnsi="Times New Roman" w:cs="Times New Roman"/>
          <w:bCs/>
          <w:sz w:val="24"/>
          <w:szCs w:val="24"/>
          <w:lang w:val="ro-RO"/>
        </w:rPr>
        <w:t>insuficienta promovare și finanțare a măsurilor de încurajare a inițiativelor economice pentru tineri, precum și slaba reprezentare a acestora în procesul de luare a deciziilor.</w:t>
      </w:r>
    </w:p>
    <w:p w:rsidR="0041733B" w:rsidRDefault="0041733B" w:rsidP="00096227">
      <w:pPr>
        <w:spacing w:after="0" w:line="360" w:lineRule="auto"/>
        <w:ind w:firstLine="720"/>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Discriminarea după handicap este o altă formă a inegalității de șanse. Situația generală dificilă a României în această perioadă de tranziție prelungită este una și mai dificilă pentru persoanele cu handicap care doresc să se integreze din punct de vedere profesional și să nu </w:t>
      </w:r>
      <w:r>
        <w:rPr>
          <w:rFonts w:ascii="Times New Roman" w:hAnsi="Times New Roman" w:cs="Times New Roman"/>
          <w:bCs/>
          <w:sz w:val="24"/>
          <w:szCs w:val="24"/>
          <w:lang w:val="ro-RO"/>
        </w:rPr>
        <w:lastRenderedPageBreak/>
        <w:t>accepte pasiv eticheta nefastă de asistat social. Chiar dacă în ultima perioadă accesul la activități sociale și economice al persoanelor cu handicap a fost semnificativ facilitat prin măsuri concrete, această categorie continuă să se confrunte cu probleme semnificative,</w:t>
      </w:r>
      <w:r w:rsidR="00831265">
        <w:rPr>
          <w:rFonts w:ascii="Times New Roman" w:hAnsi="Times New Roman" w:cs="Times New Roman"/>
          <w:bCs/>
          <w:sz w:val="24"/>
          <w:szCs w:val="24"/>
          <w:lang w:val="ro-RO"/>
        </w:rPr>
        <w:t xml:space="preserve"> dintre care amintim: servicii</w:t>
      </w:r>
      <w:r>
        <w:rPr>
          <w:rFonts w:ascii="Times New Roman" w:hAnsi="Times New Roman" w:cs="Times New Roman"/>
          <w:bCs/>
          <w:sz w:val="24"/>
          <w:szCs w:val="24"/>
          <w:lang w:val="ro-RO"/>
        </w:rPr>
        <w:t xml:space="preserve"> soci</w:t>
      </w:r>
      <w:r w:rsidR="00831265">
        <w:rPr>
          <w:rFonts w:ascii="Times New Roman" w:hAnsi="Times New Roman" w:cs="Times New Roman"/>
          <w:bCs/>
          <w:sz w:val="24"/>
          <w:szCs w:val="24"/>
          <w:lang w:val="ro-RO"/>
        </w:rPr>
        <w:t>ale specializate reduse, acces</w:t>
      </w:r>
      <w:r>
        <w:rPr>
          <w:rFonts w:ascii="Times New Roman" w:hAnsi="Times New Roman" w:cs="Times New Roman"/>
          <w:bCs/>
          <w:sz w:val="24"/>
          <w:szCs w:val="24"/>
          <w:lang w:val="ro-RO"/>
        </w:rPr>
        <w:t xml:space="preserve"> limitat la educație și pe piața muncii, concepții și mentalități inadecvate ale personalului din învățământ</w:t>
      </w:r>
      <w:r w:rsidR="00B45CEF">
        <w:rPr>
          <w:rFonts w:ascii="Times New Roman" w:hAnsi="Times New Roman" w:cs="Times New Roman"/>
          <w:bCs/>
          <w:sz w:val="24"/>
          <w:szCs w:val="24"/>
          <w:lang w:val="ro-RO"/>
        </w:rPr>
        <w:t xml:space="preserve"> și uneori chiar al celui medical.</w:t>
      </w:r>
    </w:p>
    <w:p w:rsidR="00B45CEF" w:rsidRDefault="00B45CEF" w:rsidP="00096227">
      <w:pPr>
        <w:spacing w:after="0" w:line="360" w:lineRule="auto"/>
        <w:ind w:firstLine="720"/>
        <w:jc w:val="both"/>
        <w:rPr>
          <w:rFonts w:ascii="Times New Roman" w:hAnsi="Times New Roman" w:cs="Times New Roman"/>
          <w:bCs/>
          <w:sz w:val="24"/>
          <w:szCs w:val="24"/>
          <w:lang w:val="ro-RO"/>
        </w:rPr>
      </w:pPr>
      <w:r>
        <w:rPr>
          <w:rFonts w:ascii="Times New Roman" w:hAnsi="Times New Roman" w:cs="Times New Roman"/>
          <w:bCs/>
          <w:sz w:val="24"/>
          <w:szCs w:val="24"/>
          <w:lang w:val="ro-RO"/>
        </w:rPr>
        <w:t>Di</w:t>
      </w:r>
      <w:r w:rsidR="00831265">
        <w:rPr>
          <w:rFonts w:ascii="Times New Roman" w:hAnsi="Times New Roman" w:cs="Times New Roman"/>
          <w:bCs/>
          <w:sz w:val="24"/>
          <w:szCs w:val="24"/>
          <w:lang w:val="ro-RO"/>
        </w:rPr>
        <w:t>scriminarea după</w:t>
      </w:r>
      <w:r>
        <w:rPr>
          <w:rFonts w:ascii="Times New Roman" w:hAnsi="Times New Roman" w:cs="Times New Roman"/>
          <w:bCs/>
          <w:sz w:val="24"/>
          <w:szCs w:val="24"/>
          <w:lang w:val="ro-RO"/>
        </w:rPr>
        <w:t xml:space="preserve"> etnie se datorează, conform studiului citat inițial</w:t>
      </w:r>
      <w:r w:rsidR="00831265">
        <w:rPr>
          <w:rFonts w:ascii="Times New Roman" w:hAnsi="Times New Roman" w:cs="Times New Roman"/>
          <w:bCs/>
          <w:sz w:val="24"/>
          <w:szCs w:val="24"/>
          <w:lang w:val="ro-RO"/>
        </w:rPr>
        <w:t>,</w:t>
      </w:r>
      <w:r>
        <w:rPr>
          <w:rFonts w:ascii="Times New Roman" w:hAnsi="Times New Roman" w:cs="Times New Roman"/>
          <w:bCs/>
          <w:sz w:val="24"/>
          <w:szCs w:val="24"/>
          <w:lang w:val="ro-RO"/>
        </w:rPr>
        <w:t xml:space="preserve"> unui complex de factori, dintre care amintim: inexistența unui cadru legislativ complet referitor la statutul minorităților, probleme și deficiențe apărute în aplicarea corectă a cadrului deja existent, lipsa articulării dintre organizarea și acțiunea efectivă a organizațiilor minorităților naționale, permanența unor percepții negative în legătură cu anumite minorități în opinia publică și mass media, insuficienta promovare a diversității lingvistice, culturale și religioase ca elemente favorizante ale coeziunii sociale.</w:t>
      </w:r>
    </w:p>
    <w:p w:rsidR="00973D7B" w:rsidRDefault="00973D7B" w:rsidP="00096227">
      <w:pPr>
        <w:spacing w:after="0" w:line="360" w:lineRule="auto"/>
        <w:ind w:firstLine="720"/>
        <w:jc w:val="both"/>
        <w:rPr>
          <w:rFonts w:ascii="Times New Roman" w:hAnsi="Times New Roman" w:cs="Times New Roman"/>
          <w:bCs/>
          <w:sz w:val="24"/>
          <w:szCs w:val="24"/>
          <w:lang w:val="ro-RO"/>
        </w:rPr>
      </w:pPr>
    </w:p>
    <w:p w:rsidR="00CA651E" w:rsidRDefault="00CA651E" w:rsidP="00096227">
      <w:pPr>
        <w:spacing w:after="0" w:line="360" w:lineRule="auto"/>
        <w:ind w:firstLine="720"/>
        <w:jc w:val="both"/>
        <w:rPr>
          <w:rFonts w:ascii="Times New Roman" w:hAnsi="Times New Roman" w:cs="Times New Roman"/>
          <w:bCs/>
          <w:sz w:val="24"/>
          <w:szCs w:val="24"/>
          <w:lang w:val="ro-RO"/>
        </w:rPr>
      </w:pPr>
      <w:bookmarkStart w:id="0" w:name="_GoBack"/>
      <w:bookmarkEnd w:id="0"/>
    </w:p>
    <w:p w:rsidR="004C6B47" w:rsidRDefault="004C6B47" w:rsidP="00096227">
      <w:pPr>
        <w:spacing w:after="0" w:line="360" w:lineRule="auto"/>
        <w:ind w:firstLine="720"/>
        <w:jc w:val="both"/>
        <w:rPr>
          <w:rFonts w:ascii="Times New Roman" w:hAnsi="Times New Roman" w:cs="Times New Roman"/>
          <w:bCs/>
          <w:sz w:val="24"/>
          <w:szCs w:val="24"/>
          <w:lang w:val="ro-RO"/>
        </w:rPr>
      </w:pPr>
    </w:p>
    <w:p w:rsidR="004C6B47" w:rsidRDefault="004C6B47" w:rsidP="00096227">
      <w:pPr>
        <w:spacing w:after="0" w:line="360" w:lineRule="auto"/>
        <w:ind w:firstLine="720"/>
        <w:jc w:val="both"/>
        <w:rPr>
          <w:rFonts w:ascii="Times New Roman" w:hAnsi="Times New Roman" w:cs="Times New Roman"/>
          <w:bCs/>
          <w:sz w:val="24"/>
          <w:szCs w:val="24"/>
          <w:lang w:val="ro-RO"/>
        </w:rPr>
      </w:pPr>
    </w:p>
    <w:p w:rsidR="00973D7B" w:rsidRDefault="00973D7B" w:rsidP="00973D7B">
      <w:pPr>
        <w:spacing w:after="0" w:line="360" w:lineRule="auto"/>
        <w:ind w:firstLine="720"/>
        <w:jc w:val="right"/>
        <w:rPr>
          <w:rFonts w:ascii="Times New Roman" w:hAnsi="Times New Roman" w:cs="Times New Roman"/>
          <w:bCs/>
          <w:sz w:val="24"/>
          <w:szCs w:val="24"/>
          <w:lang w:val="ro-RO"/>
        </w:rPr>
      </w:pPr>
      <w:r>
        <w:rPr>
          <w:rFonts w:ascii="Times New Roman" w:hAnsi="Times New Roman" w:cs="Times New Roman"/>
          <w:bCs/>
          <w:sz w:val="24"/>
          <w:szCs w:val="24"/>
          <w:lang w:val="ro-RO"/>
        </w:rPr>
        <w:t>Expert comunicare</w:t>
      </w:r>
    </w:p>
    <w:p w:rsidR="00973D7B" w:rsidRDefault="00973D7B" w:rsidP="00973D7B">
      <w:pPr>
        <w:spacing w:after="0" w:line="360" w:lineRule="auto"/>
        <w:ind w:firstLine="720"/>
        <w:jc w:val="right"/>
        <w:rPr>
          <w:rFonts w:ascii="Times New Roman" w:hAnsi="Times New Roman" w:cs="Times New Roman"/>
          <w:bCs/>
          <w:sz w:val="24"/>
          <w:szCs w:val="24"/>
          <w:lang w:val="ro-RO"/>
        </w:rPr>
      </w:pPr>
      <w:r>
        <w:rPr>
          <w:rFonts w:ascii="Times New Roman" w:hAnsi="Times New Roman" w:cs="Times New Roman"/>
          <w:bCs/>
          <w:sz w:val="24"/>
          <w:szCs w:val="24"/>
          <w:lang w:val="ro-RO"/>
        </w:rPr>
        <w:t>Mirela-Sanda SĂLVAN</w:t>
      </w:r>
    </w:p>
    <w:p w:rsidR="00C6644D" w:rsidRDefault="00C6644D" w:rsidP="00096227">
      <w:pPr>
        <w:spacing w:after="0" w:line="360" w:lineRule="auto"/>
        <w:ind w:firstLine="720"/>
        <w:jc w:val="both"/>
        <w:rPr>
          <w:rFonts w:ascii="Times New Roman" w:hAnsi="Times New Roman" w:cs="Times New Roman"/>
          <w:bCs/>
          <w:sz w:val="24"/>
          <w:szCs w:val="24"/>
          <w:lang w:val="ro-RO"/>
        </w:rPr>
      </w:pPr>
    </w:p>
    <w:p w:rsidR="00EB6CBA" w:rsidRDefault="00EB6CBA" w:rsidP="00096227">
      <w:pPr>
        <w:spacing w:after="0" w:line="360" w:lineRule="auto"/>
        <w:ind w:firstLine="720"/>
        <w:jc w:val="both"/>
        <w:rPr>
          <w:rFonts w:ascii="Times New Roman" w:hAnsi="Times New Roman" w:cs="Times New Roman"/>
          <w:bCs/>
          <w:sz w:val="24"/>
          <w:szCs w:val="24"/>
          <w:lang w:val="ro-RO"/>
        </w:rPr>
      </w:pPr>
    </w:p>
    <w:p w:rsidR="00096227" w:rsidRPr="00096227" w:rsidRDefault="00096227" w:rsidP="00096227">
      <w:pPr>
        <w:spacing w:after="0" w:line="360" w:lineRule="auto"/>
        <w:ind w:firstLine="720"/>
        <w:jc w:val="both"/>
        <w:rPr>
          <w:rFonts w:ascii="Times New Roman" w:hAnsi="Times New Roman" w:cs="Times New Roman"/>
          <w:bCs/>
          <w:sz w:val="24"/>
          <w:szCs w:val="24"/>
          <w:lang w:val="ro-RO"/>
        </w:rPr>
      </w:pPr>
    </w:p>
    <w:p w:rsidR="001A1A71" w:rsidRPr="00DE2B69" w:rsidRDefault="001A1A71" w:rsidP="00096227">
      <w:pPr>
        <w:spacing w:after="0" w:line="360" w:lineRule="auto"/>
        <w:jc w:val="center"/>
        <w:rPr>
          <w:rFonts w:ascii="Arial" w:hAnsi="Arial" w:cs="Arial"/>
          <w:b/>
          <w:bCs/>
          <w:lang w:val="ro-RO"/>
        </w:rPr>
      </w:pPr>
    </w:p>
    <w:sectPr w:rsidR="001A1A71" w:rsidRPr="00DE2B69" w:rsidSect="00821776">
      <w:headerReference w:type="default" r:id="rId8"/>
      <w:footerReference w:type="default" r:id="rId9"/>
      <w:pgSz w:w="11907" w:h="16839" w:code="9"/>
      <w:pgMar w:top="1440" w:right="1134" w:bottom="144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6BD" w:rsidRDefault="008966BD" w:rsidP="00D677A9">
      <w:pPr>
        <w:spacing w:after="0" w:line="240" w:lineRule="auto"/>
      </w:pPr>
      <w:r>
        <w:separator/>
      </w:r>
    </w:p>
  </w:endnote>
  <w:endnote w:type="continuationSeparator" w:id="0">
    <w:p w:rsidR="008966BD" w:rsidRDefault="008966BD" w:rsidP="00D67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A71" w:rsidRDefault="001A1A71">
    <w:pPr>
      <w:pStyle w:val="Footer"/>
    </w:pPr>
  </w:p>
  <w:tbl>
    <w:tblPr>
      <w:tblW w:w="9965" w:type="dxa"/>
      <w:jc w:val="center"/>
      <w:tblLook w:val="00A0" w:firstRow="1" w:lastRow="0" w:firstColumn="1" w:lastColumn="0" w:noHBand="0" w:noVBand="0"/>
    </w:tblPr>
    <w:tblGrid>
      <w:gridCol w:w="2943"/>
      <w:gridCol w:w="2943"/>
      <w:gridCol w:w="1777"/>
      <w:gridCol w:w="2302"/>
    </w:tblGrid>
    <w:tr w:rsidR="001A1A71" w:rsidRPr="00E65E26">
      <w:trPr>
        <w:jc w:val="center"/>
      </w:trPr>
      <w:tc>
        <w:tcPr>
          <w:tcW w:w="2943" w:type="dxa"/>
          <w:tcBorders>
            <w:top w:val="single" w:sz="12" w:space="0" w:color="0066CC"/>
          </w:tcBorders>
        </w:tcPr>
        <w:p w:rsidR="001A1A71" w:rsidRPr="00D677A9" w:rsidRDefault="001A1A71" w:rsidP="00D677A9">
          <w:pPr>
            <w:tabs>
              <w:tab w:val="center" w:pos="4513"/>
              <w:tab w:val="right" w:pos="9026"/>
            </w:tabs>
            <w:spacing w:before="40" w:after="0" w:line="240" w:lineRule="auto"/>
            <w:ind w:hanging="30"/>
            <w:rPr>
              <w:b/>
              <w:bCs/>
              <w:color w:val="365F91"/>
              <w:sz w:val="18"/>
              <w:szCs w:val="18"/>
              <w:highlight w:val="yellow"/>
              <w:lang w:val="fr-FR" w:eastAsia="en-AU"/>
            </w:rPr>
          </w:pPr>
          <w:r w:rsidRPr="00D677A9">
            <w:rPr>
              <w:rFonts w:ascii="Arial" w:hAnsi="Arial" w:cs="Arial"/>
              <w:b/>
              <w:bCs/>
              <w:color w:val="333399"/>
              <w:sz w:val="20"/>
              <w:szCs w:val="20"/>
              <w:lang w:val="ro-RO" w:eastAsia="en-AU"/>
            </w:rPr>
            <w:t>Consiliere pentru carieră, practică pentru succes</w:t>
          </w:r>
          <w:r>
            <w:rPr>
              <w:rFonts w:ascii="Arial" w:hAnsi="Arial" w:cs="Arial"/>
              <w:b/>
              <w:bCs/>
              <w:color w:val="333399"/>
              <w:sz w:val="20"/>
              <w:szCs w:val="20"/>
              <w:lang w:val="ro-RO" w:eastAsia="en-AU"/>
            </w:rPr>
            <w:t>!</w:t>
          </w:r>
        </w:p>
      </w:tc>
      <w:tc>
        <w:tcPr>
          <w:tcW w:w="2943" w:type="dxa"/>
          <w:tcBorders>
            <w:top w:val="single" w:sz="12" w:space="0" w:color="0066CC"/>
          </w:tcBorders>
        </w:tcPr>
        <w:p w:rsidR="001A1A71" w:rsidRPr="00D677A9" w:rsidRDefault="001A1A71" w:rsidP="00D677A9">
          <w:pPr>
            <w:tabs>
              <w:tab w:val="center" w:pos="4513"/>
              <w:tab w:val="right" w:pos="9026"/>
            </w:tabs>
            <w:spacing w:before="40" w:after="0" w:line="240" w:lineRule="auto"/>
            <w:ind w:firstLine="4"/>
            <w:jc w:val="center"/>
            <w:rPr>
              <w:b/>
              <w:bCs/>
              <w:color w:val="365F91"/>
              <w:sz w:val="18"/>
              <w:szCs w:val="18"/>
              <w:highlight w:val="yellow"/>
              <w:lang w:val="en-AU" w:eastAsia="en-AU"/>
            </w:rPr>
          </w:pPr>
          <w:r w:rsidRPr="00D677A9">
            <w:rPr>
              <w:rFonts w:ascii="Arial" w:hAnsi="Arial" w:cs="Arial"/>
              <w:b/>
              <w:bCs/>
              <w:color w:val="333399"/>
              <w:sz w:val="20"/>
              <w:szCs w:val="20"/>
              <w:lang w:val="ro-RO" w:eastAsia="en-AU"/>
            </w:rPr>
            <w:t>POSDRU/161/2.1/G/136010</w:t>
          </w:r>
        </w:p>
      </w:tc>
      <w:tc>
        <w:tcPr>
          <w:tcW w:w="1777" w:type="dxa"/>
          <w:vMerge w:val="restart"/>
          <w:tcBorders>
            <w:top w:val="single" w:sz="12" w:space="0" w:color="0066CC"/>
          </w:tcBorders>
          <w:vAlign w:val="center"/>
        </w:tcPr>
        <w:p w:rsidR="001A1A71" w:rsidRPr="00D677A9" w:rsidRDefault="001A1A71" w:rsidP="00D677A9">
          <w:pPr>
            <w:tabs>
              <w:tab w:val="center" w:pos="4513"/>
              <w:tab w:val="right" w:pos="9026"/>
            </w:tabs>
            <w:spacing w:after="0" w:line="240" w:lineRule="auto"/>
            <w:jc w:val="center"/>
            <w:rPr>
              <w:rFonts w:ascii="Arial" w:hAnsi="Arial" w:cs="Arial"/>
              <w:b/>
              <w:bCs/>
              <w:sz w:val="18"/>
              <w:szCs w:val="18"/>
              <w:highlight w:val="yellow"/>
              <w:lang w:val="en-AU" w:eastAsia="en-AU"/>
            </w:rPr>
          </w:pPr>
          <w:r w:rsidRPr="00D677A9">
            <w:rPr>
              <w:rFonts w:eastAsia="Times New Roman" w:cs="Times New Roman"/>
              <w:sz w:val="18"/>
              <w:szCs w:val="18"/>
              <w:lang w:val="en-AU" w:eastAsia="en-AU"/>
            </w:rPr>
            <w:object w:dxaOrig="2065" w:dyaOrig="14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05pt;height:29.25pt" o:ole="">
                <v:imagedata r:id="rId1" o:title=""/>
              </v:shape>
              <o:OLEObject Type="Embed" ProgID="CorelDraw.Graphic.14" ShapeID="_x0000_i1026" DrawAspect="Content" ObjectID="_1490447806" r:id="rId2"/>
            </w:object>
          </w:r>
        </w:p>
      </w:tc>
      <w:tc>
        <w:tcPr>
          <w:tcW w:w="2302" w:type="dxa"/>
          <w:vMerge w:val="restart"/>
          <w:tcBorders>
            <w:top w:val="single" w:sz="12" w:space="0" w:color="0066CC"/>
          </w:tcBorders>
          <w:vAlign w:val="center"/>
        </w:tcPr>
        <w:p w:rsidR="001A1A71" w:rsidRPr="00D677A9" w:rsidRDefault="001A1A71" w:rsidP="00D677A9">
          <w:pPr>
            <w:tabs>
              <w:tab w:val="center" w:pos="4513"/>
              <w:tab w:val="right" w:pos="9026"/>
            </w:tabs>
            <w:spacing w:before="60" w:after="0" w:line="240" w:lineRule="auto"/>
            <w:jc w:val="right"/>
            <w:rPr>
              <w:rFonts w:ascii="Arial" w:hAnsi="Arial" w:cs="Arial"/>
              <w:b/>
              <w:bCs/>
              <w:sz w:val="18"/>
              <w:szCs w:val="18"/>
              <w:highlight w:val="yellow"/>
              <w:lang w:val="en-AU" w:eastAsia="en-AU"/>
            </w:rPr>
          </w:pPr>
        </w:p>
      </w:tc>
    </w:tr>
    <w:tr w:rsidR="001A1A71" w:rsidRPr="00E65E26">
      <w:trPr>
        <w:jc w:val="center"/>
      </w:trPr>
      <w:tc>
        <w:tcPr>
          <w:tcW w:w="5886" w:type="dxa"/>
          <w:gridSpan w:val="2"/>
        </w:tcPr>
        <w:p w:rsidR="001A1A71" w:rsidRPr="00D677A9" w:rsidRDefault="001A1A71" w:rsidP="00D677A9">
          <w:pPr>
            <w:tabs>
              <w:tab w:val="center" w:pos="4513"/>
              <w:tab w:val="right" w:pos="9026"/>
            </w:tabs>
            <w:spacing w:after="0" w:line="240" w:lineRule="auto"/>
            <w:jc w:val="center"/>
            <w:rPr>
              <w:color w:val="365F91"/>
              <w:sz w:val="20"/>
              <w:szCs w:val="20"/>
              <w:lang w:val="en-AU" w:eastAsia="en-AU"/>
            </w:rPr>
          </w:pPr>
        </w:p>
      </w:tc>
      <w:tc>
        <w:tcPr>
          <w:tcW w:w="1777" w:type="dxa"/>
          <w:vMerge/>
          <w:vAlign w:val="center"/>
        </w:tcPr>
        <w:p w:rsidR="001A1A71" w:rsidRPr="00D677A9" w:rsidRDefault="001A1A71" w:rsidP="00D677A9">
          <w:pPr>
            <w:spacing w:after="0" w:line="240" w:lineRule="auto"/>
            <w:rPr>
              <w:rFonts w:ascii="Arial" w:hAnsi="Arial" w:cs="Arial"/>
              <w:b/>
              <w:bCs/>
              <w:highlight w:val="yellow"/>
              <w:lang w:val="en-AU" w:eastAsia="en-AU"/>
            </w:rPr>
          </w:pPr>
        </w:p>
      </w:tc>
      <w:tc>
        <w:tcPr>
          <w:tcW w:w="2302" w:type="dxa"/>
          <w:vMerge/>
          <w:vAlign w:val="center"/>
        </w:tcPr>
        <w:p w:rsidR="001A1A71" w:rsidRPr="00D677A9" w:rsidRDefault="001A1A71" w:rsidP="00D677A9">
          <w:pPr>
            <w:spacing w:after="0" w:line="240" w:lineRule="auto"/>
            <w:rPr>
              <w:rFonts w:ascii="Arial" w:hAnsi="Arial" w:cs="Arial"/>
              <w:b/>
              <w:bCs/>
              <w:highlight w:val="yellow"/>
              <w:lang w:val="en-AU" w:eastAsia="en-AU"/>
            </w:rPr>
          </w:pPr>
        </w:p>
      </w:tc>
    </w:tr>
    <w:tr w:rsidR="001A1A71" w:rsidRPr="00E65E26">
      <w:trPr>
        <w:jc w:val="center"/>
      </w:trPr>
      <w:tc>
        <w:tcPr>
          <w:tcW w:w="5886" w:type="dxa"/>
          <w:gridSpan w:val="2"/>
          <w:vAlign w:val="center"/>
        </w:tcPr>
        <w:p w:rsidR="001A1A71" w:rsidRPr="00D677A9" w:rsidRDefault="001A1A71" w:rsidP="00D677A9">
          <w:pPr>
            <w:autoSpaceDE w:val="0"/>
            <w:autoSpaceDN w:val="0"/>
            <w:adjustRightInd w:val="0"/>
            <w:spacing w:after="0" w:line="240" w:lineRule="auto"/>
            <w:jc w:val="center"/>
            <w:rPr>
              <w:b/>
              <w:bCs/>
              <w:color w:val="365F91"/>
              <w:sz w:val="20"/>
              <w:szCs w:val="20"/>
              <w:lang w:val="ro-RO" w:eastAsia="en-AU"/>
            </w:rPr>
          </w:pPr>
          <w:r w:rsidRPr="00D677A9">
            <w:rPr>
              <w:color w:val="365F91"/>
              <w:sz w:val="18"/>
              <w:szCs w:val="18"/>
              <w:lang w:val="ro-RO" w:eastAsia="en-AU"/>
            </w:rPr>
            <w:t>Proiect cofinanţat din Fondul Social European prin Programul Operaţional Sectorial Dezvoltarea Resurselor Umane 2007-2013</w:t>
          </w:r>
        </w:p>
      </w:tc>
      <w:tc>
        <w:tcPr>
          <w:tcW w:w="1777" w:type="dxa"/>
          <w:vMerge/>
          <w:vAlign w:val="center"/>
        </w:tcPr>
        <w:p w:rsidR="001A1A71" w:rsidRPr="00D677A9" w:rsidRDefault="001A1A71" w:rsidP="00D677A9">
          <w:pPr>
            <w:spacing w:after="0" w:line="240" w:lineRule="auto"/>
            <w:rPr>
              <w:rFonts w:ascii="Arial" w:hAnsi="Arial" w:cs="Arial"/>
              <w:b/>
              <w:bCs/>
              <w:highlight w:val="yellow"/>
              <w:lang w:val="en-AU" w:eastAsia="en-AU"/>
            </w:rPr>
          </w:pPr>
        </w:p>
      </w:tc>
      <w:tc>
        <w:tcPr>
          <w:tcW w:w="2302" w:type="dxa"/>
          <w:vMerge/>
          <w:vAlign w:val="center"/>
        </w:tcPr>
        <w:p w:rsidR="001A1A71" w:rsidRPr="00D677A9" w:rsidRDefault="001A1A71" w:rsidP="00D677A9">
          <w:pPr>
            <w:spacing w:after="0" w:line="240" w:lineRule="auto"/>
            <w:rPr>
              <w:rFonts w:ascii="Arial" w:hAnsi="Arial" w:cs="Arial"/>
              <w:b/>
              <w:bCs/>
              <w:highlight w:val="yellow"/>
              <w:lang w:val="en-AU" w:eastAsia="en-AU"/>
            </w:rPr>
          </w:pPr>
        </w:p>
      </w:tc>
    </w:tr>
  </w:tbl>
  <w:p w:rsidR="001A1A71" w:rsidRDefault="001A1A71" w:rsidP="00D677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6BD" w:rsidRDefault="008966BD" w:rsidP="00D677A9">
      <w:pPr>
        <w:spacing w:after="0" w:line="240" w:lineRule="auto"/>
      </w:pPr>
      <w:r>
        <w:separator/>
      </w:r>
    </w:p>
  </w:footnote>
  <w:footnote w:type="continuationSeparator" w:id="0">
    <w:p w:rsidR="008966BD" w:rsidRDefault="008966BD" w:rsidP="00D677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A71" w:rsidRDefault="008966B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53.05pt;height:52.4pt;visibility:visibl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B45BE"/>
    <w:multiLevelType w:val="hybridMultilevel"/>
    <w:tmpl w:val="A48AD3C6"/>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oNotTrackMoves/>
  <w:defaultTabStop w:val="720"/>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48AF"/>
    <w:rsid w:val="00002CFB"/>
    <w:rsid w:val="00043945"/>
    <w:rsid w:val="0005666E"/>
    <w:rsid w:val="00066DA0"/>
    <w:rsid w:val="00067E5D"/>
    <w:rsid w:val="0007585A"/>
    <w:rsid w:val="00093160"/>
    <w:rsid w:val="00096227"/>
    <w:rsid w:val="0009663A"/>
    <w:rsid w:val="000A48AF"/>
    <w:rsid w:val="000A58E4"/>
    <w:rsid w:val="000B02E1"/>
    <w:rsid w:val="000B3078"/>
    <w:rsid w:val="000B5043"/>
    <w:rsid w:val="000B76A6"/>
    <w:rsid w:val="000E4054"/>
    <w:rsid w:val="001056B0"/>
    <w:rsid w:val="0011470C"/>
    <w:rsid w:val="001256E2"/>
    <w:rsid w:val="00134A62"/>
    <w:rsid w:val="001570DF"/>
    <w:rsid w:val="001949B1"/>
    <w:rsid w:val="00197D5C"/>
    <w:rsid w:val="001A1A71"/>
    <w:rsid w:val="001A44C6"/>
    <w:rsid w:val="001A7A4F"/>
    <w:rsid w:val="001B5B11"/>
    <w:rsid w:val="001B67FF"/>
    <w:rsid w:val="001C05AC"/>
    <w:rsid w:val="001E0F84"/>
    <w:rsid w:val="0020245A"/>
    <w:rsid w:val="00203A1B"/>
    <w:rsid w:val="00224570"/>
    <w:rsid w:val="00225B25"/>
    <w:rsid w:val="002754D4"/>
    <w:rsid w:val="00276817"/>
    <w:rsid w:val="002E60B9"/>
    <w:rsid w:val="002E75F0"/>
    <w:rsid w:val="00321974"/>
    <w:rsid w:val="003227C4"/>
    <w:rsid w:val="00333A86"/>
    <w:rsid w:val="00337313"/>
    <w:rsid w:val="00345E41"/>
    <w:rsid w:val="003502AF"/>
    <w:rsid w:val="003749C4"/>
    <w:rsid w:val="003800B0"/>
    <w:rsid w:val="0038610C"/>
    <w:rsid w:val="00387790"/>
    <w:rsid w:val="003A6942"/>
    <w:rsid w:val="003B2AFC"/>
    <w:rsid w:val="003B5BA0"/>
    <w:rsid w:val="003C5DC6"/>
    <w:rsid w:val="003D5F59"/>
    <w:rsid w:val="003E3D2F"/>
    <w:rsid w:val="003F669F"/>
    <w:rsid w:val="0041733B"/>
    <w:rsid w:val="00424CE5"/>
    <w:rsid w:val="00433A17"/>
    <w:rsid w:val="00471190"/>
    <w:rsid w:val="00495F0A"/>
    <w:rsid w:val="004C6B47"/>
    <w:rsid w:val="004D23DF"/>
    <w:rsid w:val="0050196B"/>
    <w:rsid w:val="00515CD1"/>
    <w:rsid w:val="005161E3"/>
    <w:rsid w:val="005267A2"/>
    <w:rsid w:val="00543461"/>
    <w:rsid w:val="00547B11"/>
    <w:rsid w:val="005624B2"/>
    <w:rsid w:val="00577405"/>
    <w:rsid w:val="00592746"/>
    <w:rsid w:val="005E11F6"/>
    <w:rsid w:val="005E26F0"/>
    <w:rsid w:val="0061011B"/>
    <w:rsid w:val="0061623E"/>
    <w:rsid w:val="00626645"/>
    <w:rsid w:val="006301EC"/>
    <w:rsid w:val="00635E77"/>
    <w:rsid w:val="00642804"/>
    <w:rsid w:val="00657DE5"/>
    <w:rsid w:val="0066233F"/>
    <w:rsid w:val="006705F1"/>
    <w:rsid w:val="00672E58"/>
    <w:rsid w:val="0068375D"/>
    <w:rsid w:val="006910CD"/>
    <w:rsid w:val="006D4372"/>
    <w:rsid w:val="006E130F"/>
    <w:rsid w:val="006E17A9"/>
    <w:rsid w:val="00707ED2"/>
    <w:rsid w:val="00784573"/>
    <w:rsid w:val="007860C3"/>
    <w:rsid w:val="007948F1"/>
    <w:rsid w:val="007A2C49"/>
    <w:rsid w:val="007A4AB7"/>
    <w:rsid w:val="007C3DBE"/>
    <w:rsid w:val="007C6399"/>
    <w:rsid w:val="008063FF"/>
    <w:rsid w:val="00814F4F"/>
    <w:rsid w:val="00815734"/>
    <w:rsid w:val="00821334"/>
    <w:rsid w:val="00821776"/>
    <w:rsid w:val="0082635C"/>
    <w:rsid w:val="00831265"/>
    <w:rsid w:val="00834B0D"/>
    <w:rsid w:val="00851E82"/>
    <w:rsid w:val="00882E67"/>
    <w:rsid w:val="008966BD"/>
    <w:rsid w:val="008F350E"/>
    <w:rsid w:val="00915ECC"/>
    <w:rsid w:val="009430D2"/>
    <w:rsid w:val="00973D7B"/>
    <w:rsid w:val="009D1D27"/>
    <w:rsid w:val="009F4E2B"/>
    <w:rsid w:val="00A01C5D"/>
    <w:rsid w:val="00A0698F"/>
    <w:rsid w:val="00A11778"/>
    <w:rsid w:val="00A259C8"/>
    <w:rsid w:val="00A44C9E"/>
    <w:rsid w:val="00A5311C"/>
    <w:rsid w:val="00A53734"/>
    <w:rsid w:val="00A830C7"/>
    <w:rsid w:val="00A87CFA"/>
    <w:rsid w:val="00A9268F"/>
    <w:rsid w:val="00A957E1"/>
    <w:rsid w:val="00A97C0D"/>
    <w:rsid w:val="00B03F1F"/>
    <w:rsid w:val="00B22813"/>
    <w:rsid w:val="00B45CEF"/>
    <w:rsid w:val="00B73A36"/>
    <w:rsid w:val="00B76D52"/>
    <w:rsid w:val="00B82126"/>
    <w:rsid w:val="00BA73D2"/>
    <w:rsid w:val="00BD3512"/>
    <w:rsid w:val="00BD4DF9"/>
    <w:rsid w:val="00BE1EC4"/>
    <w:rsid w:val="00BE6317"/>
    <w:rsid w:val="00C546F9"/>
    <w:rsid w:val="00C55365"/>
    <w:rsid w:val="00C603AC"/>
    <w:rsid w:val="00C60E17"/>
    <w:rsid w:val="00C6644D"/>
    <w:rsid w:val="00C840EA"/>
    <w:rsid w:val="00C847FE"/>
    <w:rsid w:val="00C9475E"/>
    <w:rsid w:val="00CA37D1"/>
    <w:rsid w:val="00CA651E"/>
    <w:rsid w:val="00CA6D38"/>
    <w:rsid w:val="00CB7554"/>
    <w:rsid w:val="00CC044A"/>
    <w:rsid w:val="00CE2061"/>
    <w:rsid w:val="00CE4660"/>
    <w:rsid w:val="00CE7EF6"/>
    <w:rsid w:val="00D01B10"/>
    <w:rsid w:val="00D21714"/>
    <w:rsid w:val="00D236C0"/>
    <w:rsid w:val="00D35D90"/>
    <w:rsid w:val="00D42FDD"/>
    <w:rsid w:val="00D43ACC"/>
    <w:rsid w:val="00D60A7B"/>
    <w:rsid w:val="00D61243"/>
    <w:rsid w:val="00D63896"/>
    <w:rsid w:val="00D63CD0"/>
    <w:rsid w:val="00D653D2"/>
    <w:rsid w:val="00D677A9"/>
    <w:rsid w:val="00D70E14"/>
    <w:rsid w:val="00D73C13"/>
    <w:rsid w:val="00D85F06"/>
    <w:rsid w:val="00D96E7D"/>
    <w:rsid w:val="00DD3B5B"/>
    <w:rsid w:val="00DE230B"/>
    <w:rsid w:val="00DE2B69"/>
    <w:rsid w:val="00DE5584"/>
    <w:rsid w:val="00DF263E"/>
    <w:rsid w:val="00DF4457"/>
    <w:rsid w:val="00DF7284"/>
    <w:rsid w:val="00DF7E93"/>
    <w:rsid w:val="00E15F76"/>
    <w:rsid w:val="00E26285"/>
    <w:rsid w:val="00E26AEB"/>
    <w:rsid w:val="00E42798"/>
    <w:rsid w:val="00E65E26"/>
    <w:rsid w:val="00E74EC8"/>
    <w:rsid w:val="00E92678"/>
    <w:rsid w:val="00E94F02"/>
    <w:rsid w:val="00E96526"/>
    <w:rsid w:val="00EB6CBA"/>
    <w:rsid w:val="00ED2796"/>
    <w:rsid w:val="00EF01CC"/>
    <w:rsid w:val="00EF0683"/>
    <w:rsid w:val="00EF7848"/>
    <w:rsid w:val="00F465D4"/>
    <w:rsid w:val="00F47889"/>
    <w:rsid w:val="00F67B53"/>
    <w:rsid w:val="00F704F6"/>
    <w:rsid w:val="00F758C5"/>
    <w:rsid w:val="00F77B72"/>
    <w:rsid w:val="00F95BC7"/>
    <w:rsid w:val="00FE3C3E"/>
    <w:rsid w:val="00FF105D"/>
    <w:rsid w:val="00FF3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F84"/>
    <w:pPr>
      <w:spacing w:after="200" w:line="276" w:lineRule="auto"/>
    </w:pPr>
    <w:rPr>
      <w:rFonts w:cs="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A48AF"/>
    <w:pPr>
      <w:ind w:left="720"/>
      <w:contextualSpacing/>
    </w:pPr>
  </w:style>
  <w:style w:type="paragraph" w:styleId="Header">
    <w:name w:val="header"/>
    <w:basedOn w:val="Normal"/>
    <w:link w:val="HeaderChar"/>
    <w:uiPriority w:val="99"/>
    <w:rsid w:val="00D67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7A9"/>
  </w:style>
  <w:style w:type="paragraph" w:styleId="Footer">
    <w:name w:val="footer"/>
    <w:basedOn w:val="Normal"/>
    <w:link w:val="FooterChar"/>
    <w:uiPriority w:val="99"/>
    <w:rsid w:val="00D67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7A9"/>
  </w:style>
  <w:style w:type="paragraph" w:styleId="BalloonText">
    <w:name w:val="Balloon Text"/>
    <w:basedOn w:val="Normal"/>
    <w:link w:val="BalloonTextChar"/>
    <w:uiPriority w:val="99"/>
    <w:semiHidden/>
    <w:rsid w:val="00D677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677A9"/>
    <w:rPr>
      <w:rFonts w:ascii="Tahoma" w:hAnsi="Tahoma" w:cs="Tahoma"/>
      <w:sz w:val="16"/>
      <w:szCs w:val="16"/>
    </w:rPr>
  </w:style>
  <w:style w:type="character" w:styleId="Hyperlink">
    <w:name w:val="Hyperlink"/>
    <w:uiPriority w:val="99"/>
    <w:rsid w:val="009F4E2B"/>
    <w:rPr>
      <w:rFonts w:ascii="Times New Roman" w:hAnsi="Times New Roman" w:cs="Times New Roman"/>
      <w:color w:val="00508E"/>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79022">
      <w:marLeft w:val="0"/>
      <w:marRight w:val="0"/>
      <w:marTop w:val="0"/>
      <w:marBottom w:val="0"/>
      <w:divBdr>
        <w:top w:val="none" w:sz="0" w:space="0" w:color="auto"/>
        <w:left w:val="none" w:sz="0" w:space="0" w:color="auto"/>
        <w:bottom w:val="none" w:sz="0" w:space="0" w:color="auto"/>
        <w:right w:val="none" w:sz="0" w:space="0" w:color="auto"/>
      </w:divBdr>
    </w:div>
    <w:div w:id="2016790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3</Pages>
  <Words>914</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Investeşte în oameni</vt:lpstr>
    </vt:vector>
  </TitlesOfParts>
  <Company/>
  <LinksUpToDate>false</LinksUpToDate>
  <CharactersWithSpaces>6204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Investeşte în oameni</dc:title>
  <dc:subject/>
  <dc:creator>user</dc:creator>
  <cp:keywords/>
  <dc:description/>
  <cp:lastModifiedBy>mika</cp:lastModifiedBy>
  <cp:revision>58</cp:revision>
  <cp:lastPrinted>2014-05-15T17:29:00Z</cp:lastPrinted>
  <dcterms:created xsi:type="dcterms:W3CDTF">2014-11-28T06:06:00Z</dcterms:created>
  <dcterms:modified xsi:type="dcterms:W3CDTF">2015-04-13T13:30:00Z</dcterms:modified>
</cp:coreProperties>
</file>