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36E" w:rsidRDefault="0081636E" w:rsidP="00D677A9">
      <w:pPr>
        <w:spacing w:after="120" w:line="240" w:lineRule="auto"/>
        <w:rPr>
          <w:rFonts w:ascii="Arial" w:hAnsi="Arial" w:cs="Arial"/>
          <w:b/>
          <w:bCs/>
          <w:color w:val="333399"/>
          <w:sz w:val="20"/>
          <w:szCs w:val="20"/>
          <w:lang w:val="ro-RO" w:eastAsia="en-AU"/>
        </w:rPr>
      </w:pPr>
      <w:bookmarkStart w:id="0" w:name="_GoBack"/>
      <w:bookmarkEnd w:id="0"/>
    </w:p>
    <w:p w:rsidR="0081636E" w:rsidRPr="00D677A9" w:rsidRDefault="0081636E" w:rsidP="00D677A9">
      <w:pPr>
        <w:spacing w:after="120" w:line="240" w:lineRule="auto"/>
        <w:rPr>
          <w:lang w:val="ro-RO" w:eastAsia="en-AU"/>
        </w:rPr>
      </w:pPr>
      <w:r w:rsidRPr="00D677A9">
        <w:rPr>
          <w:rFonts w:ascii="Arial" w:hAnsi="Arial" w:cs="Arial"/>
          <w:b/>
          <w:bCs/>
          <w:color w:val="333399"/>
          <w:sz w:val="20"/>
          <w:szCs w:val="20"/>
          <w:lang w:val="ro-RO" w:eastAsia="en-AU"/>
        </w:rPr>
        <w:t>Investeşte în oameni!</w:t>
      </w:r>
    </w:p>
    <w:p w:rsidR="0081636E" w:rsidRPr="00D677A9" w:rsidRDefault="0081636E"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FONDUL SOCIAL EUROPEAN</w:t>
      </w:r>
    </w:p>
    <w:p w:rsidR="0081636E" w:rsidRPr="003227C4" w:rsidRDefault="0081636E" w:rsidP="00D677A9">
      <w:pPr>
        <w:spacing w:after="0" w:line="240" w:lineRule="auto"/>
        <w:rPr>
          <w:rFonts w:ascii="Arial" w:hAnsi="Arial" w:cs="Arial"/>
          <w:color w:val="333399"/>
          <w:spacing w:val="-2"/>
          <w:sz w:val="20"/>
          <w:szCs w:val="20"/>
          <w:lang w:val="ro-RO" w:eastAsia="en-AU"/>
        </w:rPr>
      </w:pPr>
      <w:r w:rsidRPr="003227C4">
        <w:rPr>
          <w:rFonts w:ascii="Arial" w:hAnsi="Arial" w:cs="Arial"/>
          <w:color w:val="333399"/>
          <w:spacing w:val="-2"/>
          <w:sz w:val="20"/>
          <w:szCs w:val="20"/>
          <w:lang w:val="ro-RO" w:eastAsia="en-AU"/>
        </w:rPr>
        <w:t>Proiect cofinanțat din Programul Operațional Sectorial pentru Dezvoltarea Resurselor Umane 2007 - 2013</w:t>
      </w:r>
    </w:p>
    <w:p w:rsidR="0081636E" w:rsidRPr="00D677A9" w:rsidRDefault="0081636E"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Axa prioritară: 2 ”Corelarea învăţării pe tot parcursul vieţii cu piaţa muncii”</w:t>
      </w:r>
    </w:p>
    <w:p w:rsidR="0081636E" w:rsidRPr="00D677A9" w:rsidRDefault="0081636E"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Domeniul major de intervenţie: 2.1 ”Tranziţia de la şcoală la viaţă activă”</w:t>
      </w:r>
    </w:p>
    <w:p w:rsidR="0081636E" w:rsidRPr="00D677A9" w:rsidRDefault="0081636E"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Titlul proiectului: „Consiliere pentru carieră, practică pentru succes!”</w:t>
      </w:r>
    </w:p>
    <w:p w:rsidR="0081636E" w:rsidRPr="00D677A9" w:rsidRDefault="0081636E"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Numărul de identificare al contractului: POSDRU/161/2.1/G/136010</w:t>
      </w:r>
    </w:p>
    <w:p w:rsidR="0081636E" w:rsidRPr="00D677A9" w:rsidRDefault="0081636E" w:rsidP="00D677A9">
      <w:pPr>
        <w:spacing w:after="0"/>
        <w:ind w:right="142"/>
        <w:rPr>
          <w:rFonts w:ascii="Arial" w:hAnsi="Arial" w:cs="Arial"/>
          <w:sz w:val="24"/>
          <w:szCs w:val="24"/>
          <w:lang w:val="ro-RO" w:eastAsia="en-AU"/>
        </w:rPr>
      </w:pPr>
      <w:r w:rsidRPr="00D677A9">
        <w:rPr>
          <w:rFonts w:ascii="Arial" w:hAnsi="Arial" w:cs="Arial"/>
          <w:color w:val="333399"/>
          <w:sz w:val="20"/>
          <w:szCs w:val="20"/>
          <w:lang w:val="ro-RO" w:eastAsia="en-AU"/>
        </w:rPr>
        <w:t>Beneficiar: Universitatea POLITEHNICA din București</w:t>
      </w:r>
    </w:p>
    <w:p w:rsidR="0081636E" w:rsidRDefault="0081636E" w:rsidP="006B1934">
      <w:pPr>
        <w:rPr>
          <w:rFonts w:ascii="Arial" w:hAnsi="Arial" w:cs="Arial"/>
          <w:lang w:val="ro-RO"/>
        </w:rPr>
      </w:pPr>
    </w:p>
    <w:p w:rsidR="0081636E" w:rsidRDefault="0081636E" w:rsidP="006B1934">
      <w:pPr>
        <w:rPr>
          <w:rFonts w:ascii="Arial" w:hAnsi="Arial" w:cs="Arial"/>
          <w:lang w:val="ro-RO"/>
        </w:rPr>
      </w:pPr>
    </w:p>
    <w:p w:rsidR="0081636E" w:rsidRPr="0094733A" w:rsidRDefault="0081636E" w:rsidP="00652414">
      <w:pPr>
        <w:jc w:val="center"/>
        <w:rPr>
          <w:rFonts w:ascii="Times New Roman" w:hAnsi="Times New Roman" w:cs="Times New Roman"/>
          <w:b/>
          <w:bCs/>
          <w:i/>
          <w:iCs/>
          <w:sz w:val="28"/>
          <w:szCs w:val="28"/>
          <w:lang w:val="ro-RO"/>
        </w:rPr>
      </w:pPr>
      <w:r w:rsidRPr="0094733A">
        <w:rPr>
          <w:rFonts w:ascii="Times New Roman" w:hAnsi="Times New Roman" w:cs="Times New Roman"/>
          <w:b/>
          <w:bCs/>
          <w:i/>
          <w:iCs/>
          <w:sz w:val="28"/>
          <w:szCs w:val="28"/>
          <w:lang w:val="ro-RO"/>
        </w:rPr>
        <w:t>Instrumente utilizate în cadrul activităţii de consiliere profesională</w:t>
      </w:r>
    </w:p>
    <w:p w:rsidR="0081636E" w:rsidRDefault="0081636E" w:rsidP="00FE71DC">
      <w:pPr>
        <w:jc w:val="center"/>
        <w:rPr>
          <w:rFonts w:ascii="Times New Roman" w:hAnsi="Times New Roman" w:cs="Times New Roman"/>
          <w:b/>
          <w:bCs/>
          <w:sz w:val="24"/>
          <w:szCs w:val="24"/>
          <w:lang w:val="ro-RO"/>
        </w:rPr>
      </w:pPr>
      <w:r w:rsidRPr="0094733A">
        <w:rPr>
          <w:rFonts w:ascii="Times New Roman" w:hAnsi="Times New Roman" w:cs="Times New Roman"/>
          <w:b/>
          <w:bCs/>
          <w:i/>
          <w:iCs/>
          <w:sz w:val="28"/>
          <w:szCs w:val="28"/>
          <w:lang w:val="ro-RO"/>
        </w:rPr>
        <w:t>Chestionarul Ancorele Carierei</w:t>
      </w:r>
    </w:p>
    <w:p w:rsidR="0081636E" w:rsidRDefault="0081636E" w:rsidP="00652414">
      <w:pPr>
        <w:jc w:val="both"/>
        <w:rPr>
          <w:rFonts w:ascii="Times New Roman" w:hAnsi="Times New Roman" w:cs="Times New Roman"/>
          <w:b/>
          <w:bCs/>
          <w:sz w:val="24"/>
          <w:szCs w:val="24"/>
          <w:lang w:val="ro-RO"/>
        </w:rPr>
      </w:pPr>
    </w:p>
    <w:p w:rsidR="0081636E" w:rsidRDefault="0081636E" w:rsidP="00F77999">
      <w:pPr>
        <w:spacing w:after="0" w:line="36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sz w:val="24"/>
          <w:szCs w:val="24"/>
          <w:lang w:val="ro-RO"/>
        </w:rPr>
        <w:t xml:space="preserve">Voi prezenta în cele ce urmează un instrument utilizat în cadrul activităţilor de consiliere profesională desfăşurate în proiectul </w:t>
      </w:r>
      <w:r w:rsidRPr="006374C6">
        <w:rPr>
          <w:rFonts w:ascii="Times New Roman" w:hAnsi="Times New Roman" w:cs="Times New Roman"/>
          <w:i/>
          <w:iCs/>
          <w:sz w:val="24"/>
          <w:szCs w:val="24"/>
          <w:lang w:val="ro-RO"/>
        </w:rPr>
        <w:t>„Consiliere pentru carieră, practică pentru succes!”</w:t>
      </w:r>
      <w:r>
        <w:rPr>
          <w:rFonts w:ascii="Times New Roman" w:hAnsi="Times New Roman" w:cs="Times New Roman"/>
          <w:sz w:val="24"/>
          <w:szCs w:val="24"/>
          <w:lang w:val="ro-RO"/>
        </w:rPr>
        <w:t xml:space="preserve">. Este vorba despre o adaptare a chestionarului </w:t>
      </w:r>
      <w:r w:rsidRPr="00B16C7C">
        <w:rPr>
          <w:rFonts w:ascii="Times New Roman" w:hAnsi="Times New Roman" w:cs="Times New Roman"/>
          <w:i/>
          <w:iCs/>
          <w:sz w:val="24"/>
          <w:szCs w:val="24"/>
          <w:lang w:val="ro-RO"/>
        </w:rPr>
        <w:t>Ancorele carierei</w:t>
      </w:r>
      <w:r>
        <w:rPr>
          <w:rFonts w:ascii="Times New Roman" w:hAnsi="Times New Roman" w:cs="Times New Roman"/>
          <w:sz w:val="24"/>
          <w:szCs w:val="24"/>
          <w:lang w:val="ro-RO"/>
        </w:rPr>
        <w:t xml:space="preserve"> realizat de Edgar Schein.  Ancora carierei reprezintă în viziunea acestui autor o arie de interes definitorie pentru o persoană, care se va manifesta în preferinţele acesteia şi ulterior în alegerile sale profesionale. In teoria avansată de Schein, ancorele carierei reflectă multiple aspecte, pornind de la valori adoptate prin educaţie, aptitudini native sau cultivate, stimă de sine şi încredere în propria persoană. </w:t>
      </w:r>
    </w:p>
    <w:p w:rsidR="0081636E" w:rsidRPr="00F77999" w:rsidRDefault="0081636E" w:rsidP="00670EC0">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Schein identifică opt ancore ale carierei: competenţa managerială (se regăseşte în structura celor ce pun preţ pe avansarea în carieră şi au o abordare generalistă şi multidisciplinară a evoluţiei profesionale; este vorba de persoane care au o perspectivă globală asupra lucrurilor, care nu valorizează în mod deosebit specializarea avansată într-un domeniu, care îşi doresc şi pot să îi conducă pe ceilalţi); competenţa tehnică / funcţională (defineşte persoane care consideră importantă specializarea într-un domeniu bine definit în care se vor perfecţiona şi unde vor avea cel mai adesea performanţe înalte; ); siguranţa (caracterizează indivizii pentru care este prioritară siguranţa locului de muncă şi, eventual, a poziţiei ierarhice pe care o ocupă; Schein consideră că această nevoie ar putea fi ecoul unei experienţe de viaţă în care incertitudinea sau schimbările au afectat evoluţia persoanei; pe de altă parte, aşa cum putem remarca în societatea românească, această nevoie poate reprezenta consecinţa educaţiei sau a moştenirii lăsate de un regim politic în care schimbarea locului de muncă era mai degrabă un fapt atipic, motivat cel mai adesea de aspecte problematice cu care în principiu nu dorim să ne confruntăm); autonomia şi independenţa (se regăseşte în structura celor care valorizează libertatea şi îşi doresc să se bucure de ea, inclusiv în cadrul activităţii profesionale, unde tolerează cu dificultate autoritatea, constrângerile, abuzurile); creativitatea (defineşte persoane care îşi vor pune competenţele creative în slujba companiilor pentru care lucrează, creând produse, servicii, strategii inovative, propunând schimbări de perspectivă la nivelul la care îşi exercită profesia); aventură (având o legătură cu ancora anterioară, spiritul de aventură defineşte indivizi care văd viaţa ca pe o permanentă provocare pe care înţeleg să o înfrunte; este vorba de oameni dinamici, în permanentă acţiune, care îşi asumă riscuri şi care ştiu să gestioneze atât succesul profesional, cât şi eventualele eşecuri); servicii şi dedicare (persoanele definite de această ancoră se dedică cauzelor sociale, sunt preocupate de binele celorlalţi, sunt caracterizaţi de spirit de sacrificiu, chiar de salvarea semenilor; se regăsesc între aceştia indivizi care aleg profesii ce presupun relaţia cu celălalt, cel mai adesea în sensul ameliorării vieţii acestuia din urmă: medici, asistente medicale şi sociale, profesori etc.); integrarea stilului de viaţă (defineşte persoanele care îşi doresc o viaţă armonioasă şi care încearcă să păstreze o balanţă echilibrată între viaţa profesională şi cea personală, valorizându-le pe ambele în egală măsură).</w:t>
      </w:r>
    </w:p>
    <w:p w:rsidR="0081636E" w:rsidRDefault="0081636E" w:rsidP="00DD461F">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Scopul chestionarului </w:t>
      </w:r>
      <w:r w:rsidRPr="00E5460B">
        <w:rPr>
          <w:rFonts w:ascii="Times New Roman" w:hAnsi="Times New Roman" w:cs="Times New Roman"/>
          <w:i/>
          <w:iCs/>
          <w:sz w:val="24"/>
          <w:szCs w:val="24"/>
          <w:lang w:val="ro-RO"/>
        </w:rPr>
        <w:t>Ancorele carierei</w:t>
      </w:r>
      <w:r>
        <w:rPr>
          <w:rFonts w:ascii="Times New Roman" w:hAnsi="Times New Roman" w:cs="Times New Roman"/>
          <w:sz w:val="24"/>
          <w:szCs w:val="24"/>
          <w:lang w:val="ro-RO"/>
        </w:rPr>
        <w:t xml:space="preserve"> este conştientizarea studenţilor în legătură cu propriile domenii de interes, valorile personale şi profesionale, domeniile de competenţă care ar trebui avute în vedere în perspectiva integrării profesionale şi a reuşitei în carieră. Adaptarea după chestionarul lui Edgar Schein utilizată în cadrul proiectului </w:t>
      </w:r>
      <w:r w:rsidRPr="006374C6">
        <w:rPr>
          <w:rFonts w:ascii="Times New Roman" w:hAnsi="Times New Roman" w:cs="Times New Roman"/>
          <w:i/>
          <w:iCs/>
          <w:sz w:val="24"/>
          <w:szCs w:val="24"/>
          <w:lang w:val="ro-RO"/>
        </w:rPr>
        <w:t>„Consiliere pentru carieră, practică pentru succes!”</w:t>
      </w:r>
      <w:r>
        <w:rPr>
          <w:rFonts w:ascii="Times New Roman" w:hAnsi="Times New Roman" w:cs="Times New Roman"/>
          <w:sz w:val="24"/>
          <w:szCs w:val="24"/>
          <w:lang w:val="ro-RO"/>
        </w:rPr>
        <w:t xml:space="preserve"> conţine 40 de itemi. Studenţii trebuie să ataşeze fiecărui item un scor de la 1 la 6, în funcţie de intensitatea cu care acesta reflectă o aspiraţie personală. Astfel, se acordă 1 punct dacă afirmaţia nu este deloc adevărată în cazul respondentului; 2 sau 3 puncte dacă afirmaţia este uneori adevărată; 4 sau 5 puncte dacă afirmaţia se dovedeşte adevărată cel mai adesea; 6 puncte dacă afirmaţia este întotdeauna adevărată. </w:t>
      </w:r>
    </w:p>
    <w:p w:rsidR="0081636E" w:rsidRDefault="0081636E" w:rsidP="00DD461F">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Reproducem mai jos primii 10 itemi din chestionarul aplicat studenţilor din grupul ţintă: Visez să fac lucrurile atât de bine încât să fie mereu nevoie de competenţa mea. / M-aş simţi împlinit în muncă dacă aş reuşi să organizez şi să coordonez eforturile altora. / Visez la o carieră care îmi va da libertatea de a-mi face munca în stilul meu şi conform propriului meu program. / Siguranţa şi stabilitatea sunt mai importante pentru mine decât libertatea şi autonomia. / Sunt întotdeauna atent(ă) la ideile care mi-ar permite să-mi iniţiez propria întreprindere. / Voi considera cariera mea reuşită numai dacă voi simţi că mi-am adus o contribuţie reală la binele societăţii. / Visez la o carieră în care să pot rezolva probleme sau să izbândesc în situaţii extrem de provocatoare. / Mai bine aş părăsi organizaţia decât să realizez o activitate ce mi-ar împiedica urmărirea preocupărilor personale şi familiale. / Aş considera că am o carieră reuşită numai dacă îmi pot dezvolta abilităţile tehnice sau funcţionale la un înalt nivel de competenţă. / Visez să am răspunderea unei organizaţii complexe şi posibilitatea de a lua decizii care să vizeze un număr mare de oameni.</w:t>
      </w:r>
    </w:p>
    <w:p w:rsidR="0081636E" w:rsidRDefault="0081636E" w:rsidP="00DD461F">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După ce au asociat un scor între 1 şi 6 puncte fiecăruia dintre cei 40 de itemi din chestionar, studenţii trebuie să revadă răspunsurile şi să identifice itemii cărora le-au acordat cele mai mari scoruri. Trebuie mai apoi să aleagă trei dintre aceştia pe care îi consideră cei mai potriviţi situaţiei lor şi să le adauge fiecăruia câte 4 puncte în plus. Mai apoi trebuie să completeze o grilă în care sunt trecute în revistă cele 8 ancore ale carierei definite de Schein, cu punctajele corespunzătoare itemilor care se referă la ele. Prin însumarea punctelor şi divizarea lor ulterioară la 5 (numărul de itemi corespunzător fiecăreia dintre cel opt domenii luate în considerare) va rezulta o ierarhizare a ancorelor carierei corespunzătoare fiecărui respondent.</w:t>
      </w:r>
    </w:p>
    <w:p w:rsidR="0081636E" w:rsidRPr="00FC7051" w:rsidRDefault="0081636E" w:rsidP="00DD461F">
      <w:pPr>
        <w:spacing w:after="0" w:line="360" w:lineRule="auto"/>
        <w:ind w:firstLine="720"/>
        <w:jc w:val="both"/>
        <w:rPr>
          <w:rFonts w:ascii="Times New Roman" w:hAnsi="Times New Roman" w:cs="Times New Roman"/>
          <w:sz w:val="24"/>
          <w:szCs w:val="24"/>
          <w:lang w:val="ro-RO"/>
        </w:rPr>
      </w:pPr>
    </w:p>
    <w:p w:rsidR="0081636E" w:rsidRDefault="0081636E" w:rsidP="00DD461F">
      <w:pPr>
        <w:spacing w:after="0" w:line="360" w:lineRule="auto"/>
        <w:ind w:firstLine="720"/>
        <w:jc w:val="both"/>
        <w:rPr>
          <w:rFonts w:ascii="Times New Roman" w:hAnsi="Times New Roman" w:cs="Times New Roman"/>
          <w:sz w:val="24"/>
          <w:szCs w:val="24"/>
          <w:lang w:val="ro-RO"/>
        </w:rPr>
      </w:pPr>
    </w:p>
    <w:p w:rsidR="0081636E" w:rsidRDefault="0081636E" w:rsidP="00DD461F">
      <w:pPr>
        <w:spacing w:after="0" w:line="360" w:lineRule="auto"/>
        <w:ind w:firstLine="720"/>
        <w:jc w:val="both"/>
        <w:rPr>
          <w:rFonts w:ascii="Times New Roman" w:hAnsi="Times New Roman" w:cs="Times New Roman"/>
          <w:sz w:val="24"/>
          <w:szCs w:val="24"/>
          <w:lang w:val="ro-RO"/>
        </w:rPr>
      </w:pPr>
    </w:p>
    <w:p w:rsidR="0081636E" w:rsidRDefault="0081636E" w:rsidP="00DD461F">
      <w:pPr>
        <w:spacing w:after="0" w:line="360" w:lineRule="auto"/>
        <w:ind w:firstLine="720"/>
        <w:jc w:val="both"/>
        <w:rPr>
          <w:rFonts w:ascii="Times New Roman" w:hAnsi="Times New Roman" w:cs="Times New Roman"/>
          <w:sz w:val="24"/>
          <w:szCs w:val="24"/>
          <w:lang w:val="ro-RO"/>
        </w:rPr>
      </w:pPr>
    </w:p>
    <w:p w:rsidR="0081636E" w:rsidRDefault="0081636E" w:rsidP="00DD461F">
      <w:pPr>
        <w:spacing w:after="0" w:line="360" w:lineRule="auto"/>
        <w:ind w:firstLine="720"/>
        <w:jc w:val="both"/>
        <w:rPr>
          <w:rFonts w:ascii="Times New Roman" w:hAnsi="Times New Roman" w:cs="Times New Roman"/>
          <w:sz w:val="24"/>
          <w:szCs w:val="24"/>
          <w:lang w:val="ro-RO"/>
        </w:rPr>
      </w:pPr>
    </w:p>
    <w:p w:rsidR="0081636E" w:rsidRDefault="0081636E" w:rsidP="00DB5C42">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Expert comunicare</w:t>
      </w:r>
    </w:p>
    <w:p w:rsidR="0081636E" w:rsidRDefault="0081636E" w:rsidP="00DB5C42">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Mirela-Sanda SĂLVAN</w:t>
      </w:r>
    </w:p>
    <w:p w:rsidR="0081636E" w:rsidRPr="00652414" w:rsidRDefault="0081636E" w:rsidP="00652414">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81636E" w:rsidRDefault="0081636E">
      <w:pPr>
        <w:rPr>
          <w:rFonts w:ascii="Times New Roman" w:hAnsi="Times New Roman" w:cs="Times New Roman"/>
          <w:sz w:val="24"/>
          <w:szCs w:val="24"/>
          <w:lang w:val="ro-RO"/>
        </w:rPr>
      </w:pPr>
    </w:p>
    <w:sectPr w:rsidR="0081636E" w:rsidSect="00821776">
      <w:headerReference w:type="default" r:id="rId7"/>
      <w:footerReference w:type="default" r:id="rId8"/>
      <w:pgSz w:w="11907" w:h="16839" w:code="9"/>
      <w:pgMar w:top="1440" w:right="1134"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36E" w:rsidRDefault="0081636E" w:rsidP="00D677A9">
      <w:pPr>
        <w:spacing w:after="0" w:line="240" w:lineRule="auto"/>
      </w:pPr>
      <w:r>
        <w:separator/>
      </w:r>
    </w:p>
  </w:endnote>
  <w:endnote w:type="continuationSeparator" w:id="0">
    <w:p w:rsidR="0081636E" w:rsidRDefault="0081636E" w:rsidP="00D6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6E" w:rsidRDefault="0081636E">
    <w:pPr>
      <w:pStyle w:val="Footer"/>
    </w:pPr>
  </w:p>
  <w:tbl>
    <w:tblPr>
      <w:tblW w:w="9965" w:type="dxa"/>
      <w:jc w:val="center"/>
      <w:tblLook w:val="00A0"/>
    </w:tblPr>
    <w:tblGrid>
      <w:gridCol w:w="2943"/>
      <w:gridCol w:w="2943"/>
      <w:gridCol w:w="1777"/>
      <w:gridCol w:w="2302"/>
    </w:tblGrid>
    <w:tr w:rsidR="0081636E" w:rsidRPr="00E65E26">
      <w:trPr>
        <w:jc w:val="center"/>
      </w:trPr>
      <w:tc>
        <w:tcPr>
          <w:tcW w:w="2943" w:type="dxa"/>
          <w:tcBorders>
            <w:top w:val="single" w:sz="12" w:space="0" w:color="0066CC"/>
          </w:tcBorders>
        </w:tcPr>
        <w:p w:rsidR="0081636E" w:rsidRPr="00D677A9" w:rsidRDefault="0081636E"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81636E" w:rsidRPr="00D677A9" w:rsidRDefault="0081636E"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81636E" w:rsidRPr="00D677A9" w:rsidRDefault="0081636E"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29.25pt" o:ole="">
                <v:imagedata r:id="rId1" o:title=""/>
              </v:shape>
              <o:OLEObject Type="Embed" ProgID="CorelDraw.Graphic.14" ShapeID="_x0000_i1028" DrawAspect="Content" ObjectID="_1486743097" r:id="rId2"/>
            </w:object>
          </w:r>
        </w:p>
      </w:tc>
      <w:tc>
        <w:tcPr>
          <w:tcW w:w="2302" w:type="dxa"/>
          <w:vMerge w:val="restart"/>
          <w:tcBorders>
            <w:top w:val="single" w:sz="12" w:space="0" w:color="0066CC"/>
          </w:tcBorders>
          <w:vAlign w:val="center"/>
        </w:tcPr>
        <w:p w:rsidR="0081636E" w:rsidRPr="00D677A9" w:rsidRDefault="0081636E"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r w:rsidRPr="00D677A9">
            <w:rPr>
              <w:sz w:val="18"/>
              <w:szCs w:val="18"/>
              <w:lang w:val="en-AU" w:eastAsia="en-AU"/>
            </w:rPr>
            <w:fldChar w:fldCharType="begin"/>
          </w:r>
          <w:r w:rsidRPr="00D677A9">
            <w:rPr>
              <w:sz w:val="18"/>
              <w:szCs w:val="18"/>
              <w:lang w:val="en-AU" w:eastAsia="en-AU"/>
            </w:rPr>
            <w:instrText xml:space="preserve"> PAGE   \* MERGEFORMAT </w:instrText>
          </w:r>
          <w:r w:rsidRPr="00D677A9">
            <w:rPr>
              <w:sz w:val="18"/>
              <w:szCs w:val="18"/>
              <w:lang w:val="en-AU" w:eastAsia="en-AU"/>
            </w:rPr>
            <w:fldChar w:fldCharType="separate"/>
          </w:r>
          <w:r>
            <w:rPr>
              <w:noProof/>
              <w:sz w:val="18"/>
              <w:szCs w:val="18"/>
              <w:lang w:val="en-AU" w:eastAsia="en-AU"/>
            </w:rPr>
            <w:t>3</w:t>
          </w:r>
          <w:r w:rsidRPr="00D677A9">
            <w:rPr>
              <w:sz w:val="18"/>
              <w:szCs w:val="18"/>
              <w:lang w:val="en-AU" w:eastAsia="en-AU"/>
            </w:rPr>
            <w:fldChar w:fldCharType="end"/>
          </w:r>
        </w:p>
      </w:tc>
    </w:tr>
    <w:tr w:rsidR="0081636E" w:rsidRPr="00E65E26">
      <w:trPr>
        <w:jc w:val="center"/>
      </w:trPr>
      <w:tc>
        <w:tcPr>
          <w:tcW w:w="5886" w:type="dxa"/>
          <w:gridSpan w:val="2"/>
        </w:tcPr>
        <w:p w:rsidR="0081636E" w:rsidRPr="00D677A9" w:rsidRDefault="0081636E"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81636E" w:rsidRPr="00D677A9" w:rsidRDefault="0081636E" w:rsidP="00D677A9">
          <w:pPr>
            <w:spacing w:after="0" w:line="240" w:lineRule="auto"/>
            <w:rPr>
              <w:rFonts w:ascii="Arial" w:hAnsi="Arial" w:cs="Arial"/>
              <w:b/>
              <w:bCs/>
              <w:highlight w:val="yellow"/>
              <w:lang w:val="en-AU" w:eastAsia="en-AU"/>
            </w:rPr>
          </w:pPr>
        </w:p>
      </w:tc>
      <w:tc>
        <w:tcPr>
          <w:tcW w:w="2302" w:type="dxa"/>
          <w:vMerge/>
          <w:vAlign w:val="center"/>
        </w:tcPr>
        <w:p w:rsidR="0081636E" w:rsidRPr="00D677A9" w:rsidRDefault="0081636E" w:rsidP="00D677A9">
          <w:pPr>
            <w:spacing w:after="0" w:line="240" w:lineRule="auto"/>
            <w:rPr>
              <w:rFonts w:ascii="Arial" w:hAnsi="Arial" w:cs="Arial"/>
              <w:b/>
              <w:bCs/>
              <w:highlight w:val="yellow"/>
              <w:lang w:val="en-AU" w:eastAsia="en-AU"/>
            </w:rPr>
          </w:pPr>
        </w:p>
      </w:tc>
    </w:tr>
    <w:tr w:rsidR="0081636E" w:rsidRPr="00E65E26">
      <w:trPr>
        <w:jc w:val="center"/>
      </w:trPr>
      <w:tc>
        <w:tcPr>
          <w:tcW w:w="5886" w:type="dxa"/>
          <w:gridSpan w:val="2"/>
          <w:vAlign w:val="center"/>
        </w:tcPr>
        <w:p w:rsidR="0081636E" w:rsidRPr="00D677A9" w:rsidRDefault="0081636E"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81636E" w:rsidRPr="00D677A9" w:rsidRDefault="0081636E" w:rsidP="00D677A9">
          <w:pPr>
            <w:spacing w:after="0" w:line="240" w:lineRule="auto"/>
            <w:rPr>
              <w:rFonts w:ascii="Arial" w:hAnsi="Arial" w:cs="Arial"/>
              <w:b/>
              <w:bCs/>
              <w:highlight w:val="yellow"/>
              <w:lang w:val="en-AU" w:eastAsia="en-AU"/>
            </w:rPr>
          </w:pPr>
        </w:p>
      </w:tc>
      <w:tc>
        <w:tcPr>
          <w:tcW w:w="2302" w:type="dxa"/>
          <w:vMerge/>
          <w:vAlign w:val="center"/>
        </w:tcPr>
        <w:p w:rsidR="0081636E" w:rsidRPr="00D677A9" w:rsidRDefault="0081636E" w:rsidP="00D677A9">
          <w:pPr>
            <w:spacing w:after="0" w:line="240" w:lineRule="auto"/>
            <w:rPr>
              <w:rFonts w:ascii="Arial" w:hAnsi="Arial" w:cs="Arial"/>
              <w:b/>
              <w:bCs/>
              <w:highlight w:val="yellow"/>
              <w:lang w:val="en-AU" w:eastAsia="en-AU"/>
            </w:rPr>
          </w:pPr>
        </w:p>
      </w:tc>
    </w:tr>
  </w:tbl>
  <w:p w:rsidR="0081636E" w:rsidRDefault="0081636E" w:rsidP="00D67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36E" w:rsidRDefault="0081636E" w:rsidP="00D677A9">
      <w:pPr>
        <w:spacing w:after="0" w:line="240" w:lineRule="auto"/>
      </w:pPr>
      <w:r>
        <w:separator/>
      </w:r>
    </w:p>
  </w:footnote>
  <w:footnote w:type="continuationSeparator" w:id="0">
    <w:p w:rsidR="0081636E" w:rsidRDefault="0081636E" w:rsidP="00D67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6E" w:rsidRDefault="0081636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5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nsid w:val="292937E8"/>
    <w:multiLevelType w:val="multilevel"/>
    <w:tmpl w:val="D7B4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1C3954"/>
    <w:multiLevelType w:val="hybridMultilevel"/>
    <w:tmpl w:val="B0D8C0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9143D0"/>
    <w:multiLevelType w:val="multilevel"/>
    <w:tmpl w:val="A2C2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732775"/>
    <w:multiLevelType w:val="multilevel"/>
    <w:tmpl w:val="E95C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BF1AFE"/>
    <w:multiLevelType w:val="multilevel"/>
    <w:tmpl w:val="88BE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05209D"/>
    <w:multiLevelType w:val="multilevel"/>
    <w:tmpl w:val="B8C6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066ADD"/>
    <w:multiLevelType w:val="multilevel"/>
    <w:tmpl w:val="E94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AF"/>
    <w:rsid w:val="00014269"/>
    <w:rsid w:val="00042D50"/>
    <w:rsid w:val="00050131"/>
    <w:rsid w:val="0005666E"/>
    <w:rsid w:val="00080D4A"/>
    <w:rsid w:val="00092889"/>
    <w:rsid w:val="00093160"/>
    <w:rsid w:val="0009663A"/>
    <w:rsid w:val="000A48AF"/>
    <w:rsid w:val="000A58E4"/>
    <w:rsid w:val="000B3078"/>
    <w:rsid w:val="000D1B3A"/>
    <w:rsid w:val="000D54B5"/>
    <w:rsid w:val="00135040"/>
    <w:rsid w:val="00137968"/>
    <w:rsid w:val="0014734F"/>
    <w:rsid w:val="00174F23"/>
    <w:rsid w:val="001949B1"/>
    <w:rsid w:val="001A1C28"/>
    <w:rsid w:val="001A44C6"/>
    <w:rsid w:val="001B3B61"/>
    <w:rsid w:val="001B5B11"/>
    <w:rsid w:val="001E0F84"/>
    <w:rsid w:val="001F479C"/>
    <w:rsid w:val="0020245A"/>
    <w:rsid w:val="00217747"/>
    <w:rsid w:val="002754D4"/>
    <w:rsid w:val="002954EF"/>
    <w:rsid w:val="002956C8"/>
    <w:rsid w:val="002A0D0D"/>
    <w:rsid w:val="002A1103"/>
    <w:rsid w:val="002B6FA3"/>
    <w:rsid w:val="002D1A11"/>
    <w:rsid w:val="002D7544"/>
    <w:rsid w:val="002E60B9"/>
    <w:rsid w:val="002E77F0"/>
    <w:rsid w:val="002F65D5"/>
    <w:rsid w:val="00300544"/>
    <w:rsid w:val="003227C4"/>
    <w:rsid w:val="00333A86"/>
    <w:rsid w:val="00337313"/>
    <w:rsid w:val="00340B9C"/>
    <w:rsid w:val="00352BEB"/>
    <w:rsid w:val="003765BA"/>
    <w:rsid w:val="0038610C"/>
    <w:rsid w:val="003868A2"/>
    <w:rsid w:val="003C56C6"/>
    <w:rsid w:val="003E3D2F"/>
    <w:rsid w:val="00400C0A"/>
    <w:rsid w:val="00425236"/>
    <w:rsid w:val="00471190"/>
    <w:rsid w:val="004A6082"/>
    <w:rsid w:val="004F3A49"/>
    <w:rsid w:val="005175E8"/>
    <w:rsid w:val="005207B6"/>
    <w:rsid w:val="00543461"/>
    <w:rsid w:val="00547B11"/>
    <w:rsid w:val="005812DB"/>
    <w:rsid w:val="00592D19"/>
    <w:rsid w:val="00597A5E"/>
    <w:rsid w:val="005F1C9D"/>
    <w:rsid w:val="005F6138"/>
    <w:rsid w:val="00606E6D"/>
    <w:rsid w:val="00623417"/>
    <w:rsid w:val="006374C6"/>
    <w:rsid w:val="00640BC5"/>
    <w:rsid w:val="00652414"/>
    <w:rsid w:val="00663BF4"/>
    <w:rsid w:val="00670EC0"/>
    <w:rsid w:val="00677A1E"/>
    <w:rsid w:val="00696DEF"/>
    <w:rsid w:val="00697365"/>
    <w:rsid w:val="006A7A07"/>
    <w:rsid w:val="006B1934"/>
    <w:rsid w:val="006B5F55"/>
    <w:rsid w:val="006C782A"/>
    <w:rsid w:val="007022AF"/>
    <w:rsid w:val="007023B0"/>
    <w:rsid w:val="00711D62"/>
    <w:rsid w:val="00720F4B"/>
    <w:rsid w:val="00741D46"/>
    <w:rsid w:val="007860C3"/>
    <w:rsid w:val="007A2C49"/>
    <w:rsid w:val="007F1530"/>
    <w:rsid w:val="00814059"/>
    <w:rsid w:val="0081636E"/>
    <w:rsid w:val="00821776"/>
    <w:rsid w:val="00824EB0"/>
    <w:rsid w:val="00844B4E"/>
    <w:rsid w:val="00884754"/>
    <w:rsid w:val="008A6AFE"/>
    <w:rsid w:val="008C1705"/>
    <w:rsid w:val="008E51B0"/>
    <w:rsid w:val="008F350E"/>
    <w:rsid w:val="008F75EE"/>
    <w:rsid w:val="00915F38"/>
    <w:rsid w:val="0094733A"/>
    <w:rsid w:val="009D754C"/>
    <w:rsid w:val="00A011A0"/>
    <w:rsid w:val="00A01C5D"/>
    <w:rsid w:val="00A0698F"/>
    <w:rsid w:val="00A44C9E"/>
    <w:rsid w:val="00A45F90"/>
    <w:rsid w:val="00A53734"/>
    <w:rsid w:val="00A72559"/>
    <w:rsid w:val="00A841F1"/>
    <w:rsid w:val="00A957E1"/>
    <w:rsid w:val="00A97917"/>
    <w:rsid w:val="00A97C0D"/>
    <w:rsid w:val="00B16C7C"/>
    <w:rsid w:val="00B22813"/>
    <w:rsid w:val="00B51178"/>
    <w:rsid w:val="00B518C2"/>
    <w:rsid w:val="00B76D52"/>
    <w:rsid w:val="00B76E4A"/>
    <w:rsid w:val="00B852EB"/>
    <w:rsid w:val="00BC35F6"/>
    <w:rsid w:val="00BC4C39"/>
    <w:rsid w:val="00BC530E"/>
    <w:rsid w:val="00BD3512"/>
    <w:rsid w:val="00C2499A"/>
    <w:rsid w:val="00C36F8D"/>
    <w:rsid w:val="00C446C9"/>
    <w:rsid w:val="00C47838"/>
    <w:rsid w:val="00C60E17"/>
    <w:rsid w:val="00C847FE"/>
    <w:rsid w:val="00C9544F"/>
    <w:rsid w:val="00CA1646"/>
    <w:rsid w:val="00CA37D1"/>
    <w:rsid w:val="00CB6036"/>
    <w:rsid w:val="00CB7554"/>
    <w:rsid w:val="00CD20B4"/>
    <w:rsid w:val="00CE2061"/>
    <w:rsid w:val="00CE4660"/>
    <w:rsid w:val="00D21714"/>
    <w:rsid w:val="00D61243"/>
    <w:rsid w:val="00D653D2"/>
    <w:rsid w:val="00D66170"/>
    <w:rsid w:val="00D677A9"/>
    <w:rsid w:val="00D96D8B"/>
    <w:rsid w:val="00D96E7D"/>
    <w:rsid w:val="00DB26D8"/>
    <w:rsid w:val="00DB5C42"/>
    <w:rsid w:val="00DC3C14"/>
    <w:rsid w:val="00DC61D2"/>
    <w:rsid w:val="00DD461F"/>
    <w:rsid w:val="00DE53F7"/>
    <w:rsid w:val="00DF3B91"/>
    <w:rsid w:val="00E26285"/>
    <w:rsid w:val="00E45FD2"/>
    <w:rsid w:val="00E50E70"/>
    <w:rsid w:val="00E5460B"/>
    <w:rsid w:val="00E65C93"/>
    <w:rsid w:val="00E65E26"/>
    <w:rsid w:val="00E77730"/>
    <w:rsid w:val="00E96526"/>
    <w:rsid w:val="00EC242D"/>
    <w:rsid w:val="00ED4419"/>
    <w:rsid w:val="00EF1DDE"/>
    <w:rsid w:val="00F021BB"/>
    <w:rsid w:val="00F16962"/>
    <w:rsid w:val="00F3373B"/>
    <w:rsid w:val="00F47889"/>
    <w:rsid w:val="00F77999"/>
    <w:rsid w:val="00F80694"/>
    <w:rsid w:val="00FC7051"/>
    <w:rsid w:val="00FD0172"/>
    <w:rsid w:val="00FE215E"/>
    <w:rsid w:val="00FE71DC"/>
    <w:rsid w:val="00FF243A"/>
    <w:rsid w:val="00FF30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990070">
      <w:marLeft w:val="0"/>
      <w:marRight w:val="0"/>
      <w:marTop w:val="0"/>
      <w:marBottom w:val="0"/>
      <w:divBdr>
        <w:top w:val="none" w:sz="0" w:space="0" w:color="auto"/>
        <w:left w:val="none" w:sz="0" w:space="0" w:color="auto"/>
        <w:bottom w:val="none" w:sz="0" w:space="0" w:color="auto"/>
        <w:right w:val="none" w:sz="0" w:space="0" w:color="auto"/>
      </w:divBdr>
    </w:div>
    <w:div w:id="1654990071">
      <w:marLeft w:val="0"/>
      <w:marRight w:val="0"/>
      <w:marTop w:val="0"/>
      <w:marBottom w:val="0"/>
      <w:divBdr>
        <w:top w:val="none" w:sz="0" w:space="0" w:color="auto"/>
        <w:left w:val="none" w:sz="0" w:space="0" w:color="auto"/>
        <w:bottom w:val="none" w:sz="0" w:space="0" w:color="auto"/>
        <w:right w:val="none" w:sz="0" w:space="0" w:color="auto"/>
      </w:divBdr>
    </w:div>
    <w:div w:id="1654990072">
      <w:marLeft w:val="0"/>
      <w:marRight w:val="0"/>
      <w:marTop w:val="0"/>
      <w:marBottom w:val="0"/>
      <w:divBdr>
        <w:top w:val="none" w:sz="0" w:space="0" w:color="auto"/>
        <w:left w:val="none" w:sz="0" w:space="0" w:color="auto"/>
        <w:bottom w:val="none" w:sz="0" w:space="0" w:color="auto"/>
        <w:right w:val="none" w:sz="0" w:space="0" w:color="auto"/>
      </w:divBdr>
    </w:div>
    <w:div w:id="1654990073">
      <w:marLeft w:val="0"/>
      <w:marRight w:val="0"/>
      <w:marTop w:val="0"/>
      <w:marBottom w:val="0"/>
      <w:divBdr>
        <w:top w:val="none" w:sz="0" w:space="0" w:color="auto"/>
        <w:left w:val="none" w:sz="0" w:space="0" w:color="auto"/>
        <w:bottom w:val="none" w:sz="0" w:space="0" w:color="auto"/>
        <w:right w:val="none" w:sz="0" w:space="0" w:color="auto"/>
      </w:divBdr>
    </w:div>
    <w:div w:id="1654990074">
      <w:marLeft w:val="0"/>
      <w:marRight w:val="0"/>
      <w:marTop w:val="0"/>
      <w:marBottom w:val="0"/>
      <w:divBdr>
        <w:top w:val="none" w:sz="0" w:space="0" w:color="auto"/>
        <w:left w:val="none" w:sz="0" w:space="0" w:color="auto"/>
        <w:bottom w:val="none" w:sz="0" w:space="0" w:color="auto"/>
        <w:right w:val="none" w:sz="0" w:space="0" w:color="auto"/>
      </w:divBdr>
    </w:div>
    <w:div w:id="1654990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399</TotalTime>
  <Pages>3</Pages>
  <Words>1007</Words>
  <Characters>5741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cp:lastModifiedBy>
  <cp:revision>77</cp:revision>
  <cp:lastPrinted>2014-05-15T17:29:00Z</cp:lastPrinted>
  <dcterms:created xsi:type="dcterms:W3CDTF">2014-05-16T15:37:00Z</dcterms:created>
  <dcterms:modified xsi:type="dcterms:W3CDTF">2015-03-01T17:25:00Z</dcterms:modified>
</cp:coreProperties>
</file>